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8A438" w14:textId="4A50C5FD" w:rsidR="001F1D9B" w:rsidRPr="008740EA" w:rsidRDefault="009C2235" w:rsidP="002E5DE3">
      <w:pPr>
        <w:pStyle w:val="Heading1"/>
      </w:pPr>
      <w:r>
        <w:t xml:space="preserve">Changes to the Claimant Count </w:t>
      </w:r>
      <w:r w:rsidR="00852ADD">
        <w:t xml:space="preserve">– Briefing Note </w:t>
      </w:r>
    </w:p>
    <w:p w14:paraId="7ECAD335" w14:textId="77777777" w:rsidR="00C62953" w:rsidRDefault="00C62953" w:rsidP="00292C59">
      <w:pPr>
        <w:rPr>
          <w:rFonts w:cs="Arial"/>
          <w:b/>
          <w:bCs/>
          <w:szCs w:val="24"/>
        </w:rPr>
      </w:pPr>
    </w:p>
    <w:p w14:paraId="5A8EF899" w14:textId="3A7B0325" w:rsidR="00292C59" w:rsidRDefault="00292C59" w:rsidP="002E5DE3">
      <w:pPr>
        <w:pStyle w:val="Heading2"/>
      </w:pPr>
      <w:r>
        <w:t>Key message</w:t>
      </w:r>
      <w:r w:rsidR="00D138A7">
        <w:t>s</w:t>
      </w:r>
    </w:p>
    <w:p w14:paraId="78A7D2EC" w14:textId="77777777" w:rsidR="00292C59" w:rsidRDefault="00292C59" w:rsidP="00292C59">
      <w:pPr>
        <w:rPr>
          <w:rFonts w:cs="Arial"/>
          <w:b/>
          <w:bCs/>
          <w:szCs w:val="24"/>
        </w:rPr>
      </w:pPr>
    </w:p>
    <w:p w14:paraId="25C4FBD1" w14:textId="3C152233" w:rsidR="00FE0549" w:rsidRPr="00FE0549" w:rsidRDefault="00086A7D" w:rsidP="00FE0549">
      <w:pPr>
        <w:pStyle w:val="ListParagraph"/>
        <w:numPr>
          <w:ilvl w:val="0"/>
          <w:numId w:val="4"/>
        </w:numPr>
        <w:rPr>
          <w:rFonts w:cs="Arial"/>
          <w:b/>
          <w:bCs/>
          <w:szCs w:val="24"/>
        </w:rPr>
      </w:pPr>
      <w:r w:rsidRPr="002D7B93">
        <w:rPr>
          <w:rFonts w:cs="Arial"/>
          <w:szCs w:val="24"/>
        </w:rPr>
        <w:t>Recent increases in Buckinghamshire’s Claimant Count</w:t>
      </w:r>
      <w:r w:rsidRPr="0036132F">
        <w:rPr>
          <w:rFonts w:cs="Arial"/>
          <w:b/>
          <w:bCs/>
          <w:szCs w:val="24"/>
        </w:rPr>
        <w:t xml:space="preserve"> can largely be attributed to changes </w:t>
      </w:r>
      <w:r w:rsidR="00824AEF">
        <w:rPr>
          <w:rFonts w:cs="Arial"/>
          <w:b/>
          <w:bCs/>
          <w:szCs w:val="24"/>
        </w:rPr>
        <w:t xml:space="preserve">to </w:t>
      </w:r>
      <w:r w:rsidRPr="0036132F">
        <w:rPr>
          <w:rFonts w:cs="Arial"/>
          <w:b/>
          <w:bCs/>
          <w:szCs w:val="24"/>
        </w:rPr>
        <w:t>within the benefits system</w:t>
      </w:r>
      <w:r w:rsidRPr="0036132F">
        <w:rPr>
          <w:rFonts w:cs="Arial"/>
          <w:szCs w:val="24"/>
        </w:rPr>
        <w:t xml:space="preserve">, specifically, more people who are working (on low hours / earnings) being included within the Count. </w:t>
      </w:r>
    </w:p>
    <w:p w14:paraId="15372345" w14:textId="55002BF1" w:rsidR="0027248F" w:rsidRPr="0027248F" w:rsidRDefault="00FE0549" w:rsidP="0027248F">
      <w:pPr>
        <w:pStyle w:val="ListParagraph"/>
        <w:numPr>
          <w:ilvl w:val="0"/>
          <w:numId w:val="4"/>
        </w:numPr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As the proportion of people </w:t>
      </w:r>
      <w:r w:rsidR="00824AEF">
        <w:rPr>
          <w:rFonts w:cs="Arial"/>
          <w:szCs w:val="24"/>
        </w:rPr>
        <w:t>counted withi</w:t>
      </w:r>
      <w:r>
        <w:rPr>
          <w:rFonts w:cs="Arial"/>
          <w:szCs w:val="24"/>
        </w:rPr>
        <w:t xml:space="preserve">n the Claimant Count </w:t>
      </w:r>
      <w:r w:rsidR="00FF4BD1">
        <w:rPr>
          <w:rFonts w:cs="Arial"/>
          <w:szCs w:val="24"/>
        </w:rPr>
        <w:t xml:space="preserve">who are ‘in work’ has increased to </w:t>
      </w:r>
      <w:r w:rsidR="00774324">
        <w:rPr>
          <w:rFonts w:cs="Arial"/>
          <w:szCs w:val="24"/>
        </w:rPr>
        <w:t>over 20%, we should no longer be using</w:t>
      </w:r>
      <w:r w:rsidR="00FF4BD1">
        <w:rPr>
          <w:rFonts w:cs="Arial"/>
          <w:szCs w:val="24"/>
        </w:rPr>
        <w:t xml:space="preserve"> t</w:t>
      </w:r>
      <w:r w:rsidR="00086A7D" w:rsidRPr="00FE0549">
        <w:rPr>
          <w:rFonts w:cs="Arial"/>
          <w:szCs w:val="24"/>
        </w:rPr>
        <w:t xml:space="preserve">he Claimant Count </w:t>
      </w:r>
      <w:r w:rsidR="007A0127">
        <w:rPr>
          <w:rFonts w:cs="Arial"/>
          <w:b/>
          <w:bCs/>
          <w:szCs w:val="24"/>
        </w:rPr>
        <w:t>solely</w:t>
      </w:r>
      <w:r w:rsidR="00774324">
        <w:rPr>
          <w:rFonts w:cs="Arial"/>
          <w:b/>
          <w:bCs/>
          <w:szCs w:val="24"/>
        </w:rPr>
        <w:t xml:space="preserve"> a</w:t>
      </w:r>
      <w:r w:rsidR="00B524A2">
        <w:rPr>
          <w:rFonts w:cs="Arial"/>
          <w:b/>
          <w:bCs/>
          <w:szCs w:val="24"/>
        </w:rPr>
        <w:t>s a</w:t>
      </w:r>
      <w:r w:rsidR="00774324">
        <w:rPr>
          <w:rFonts w:cs="Arial"/>
          <w:b/>
          <w:bCs/>
          <w:szCs w:val="24"/>
        </w:rPr>
        <w:t xml:space="preserve"> proxy</w:t>
      </w:r>
      <w:r w:rsidR="00FF4BD1">
        <w:rPr>
          <w:rFonts w:cs="Arial"/>
          <w:b/>
          <w:bCs/>
          <w:szCs w:val="24"/>
        </w:rPr>
        <w:t xml:space="preserve"> </w:t>
      </w:r>
      <w:r w:rsidR="00086A7D" w:rsidRPr="00FE0549">
        <w:rPr>
          <w:rFonts w:cs="Arial"/>
          <w:b/>
          <w:bCs/>
          <w:szCs w:val="24"/>
        </w:rPr>
        <w:t>for unemployment</w:t>
      </w:r>
      <w:r w:rsidR="00086A7D" w:rsidRPr="00FE0549">
        <w:rPr>
          <w:rFonts w:cs="Arial"/>
          <w:szCs w:val="24"/>
        </w:rPr>
        <w:t xml:space="preserve">.  Rather it should be used as a proxy for </w:t>
      </w:r>
      <w:r w:rsidR="00086A7D" w:rsidRPr="00FE0549">
        <w:rPr>
          <w:rFonts w:cs="Arial"/>
          <w:b/>
          <w:bCs/>
          <w:szCs w:val="24"/>
        </w:rPr>
        <w:t>unemployment and underemployment</w:t>
      </w:r>
      <w:r w:rsidR="00086A7D">
        <w:rPr>
          <w:rStyle w:val="FootnoteReference"/>
          <w:rFonts w:cs="Arial"/>
          <w:b/>
          <w:bCs/>
          <w:szCs w:val="24"/>
        </w:rPr>
        <w:footnoteReference w:id="2"/>
      </w:r>
      <w:r w:rsidR="00086A7D" w:rsidRPr="00FE0549">
        <w:rPr>
          <w:rFonts w:cs="Arial"/>
          <w:szCs w:val="24"/>
        </w:rPr>
        <w:t xml:space="preserve">. </w:t>
      </w:r>
    </w:p>
    <w:p w14:paraId="414C89C6" w14:textId="77777777" w:rsidR="00086A7D" w:rsidRDefault="00086A7D" w:rsidP="00086A7D">
      <w:pPr>
        <w:rPr>
          <w:rFonts w:cs="Arial"/>
          <w:szCs w:val="24"/>
        </w:rPr>
      </w:pPr>
    </w:p>
    <w:p w14:paraId="33ED14E7" w14:textId="7D7E8CFC" w:rsidR="00086A7D" w:rsidRPr="00086A7D" w:rsidRDefault="003C2EE7" w:rsidP="002E5DE3">
      <w:pPr>
        <w:pStyle w:val="Heading2"/>
      </w:pPr>
      <w:r>
        <w:t>Claimant Count trend</w:t>
      </w:r>
      <w:r w:rsidR="00B524A2">
        <w:t xml:space="preserve"> (</w:t>
      </w:r>
      <w:hyperlink w:anchor="_Trend_data" w:history="1">
        <w:r w:rsidR="00B524A2" w:rsidRPr="002E5DE3">
          <w:rPr>
            <w:rStyle w:val="Hyperlink"/>
          </w:rPr>
          <w:t>see charts 1</w:t>
        </w:r>
        <w:r w:rsidR="002E5DE3" w:rsidRPr="002E5DE3">
          <w:rPr>
            <w:rStyle w:val="Hyperlink"/>
          </w:rPr>
          <w:t>, 2 and 3</w:t>
        </w:r>
      </w:hyperlink>
      <w:r w:rsidR="002E5DE3">
        <w:t xml:space="preserve">) </w:t>
      </w:r>
    </w:p>
    <w:p w14:paraId="3C229307" w14:textId="77777777" w:rsidR="00086A7D" w:rsidRPr="00086A7D" w:rsidRDefault="00086A7D" w:rsidP="00086A7D">
      <w:pPr>
        <w:rPr>
          <w:rFonts w:cs="Arial"/>
          <w:szCs w:val="24"/>
        </w:rPr>
      </w:pPr>
    </w:p>
    <w:p w14:paraId="112C0F4C" w14:textId="4B8B0BF4" w:rsidR="00954311" w:rsidRDefault="005422AC" w:rsidP="0051475A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5422AC">
        <w:rPr>
          <w:rFonts w:cs="Arial"/>
          <w:szCs w:val="24"/>
        </w:rPr>
        <w:t xml:space="preserve">Buckinghamshire’s Claimant Count </w:t>
      </w:r>
      <w:r w:rsidR="0083548B">
        <w:rPr>
          <w:rFonts w:cs="Arial"/>
          <w:szCs w:val="24"/>
        </w:rPr>
        <w:t xml:space="preserve">was relatively stable </w:t>
      </w:r>
      <w:r w:rsidR="003B4724">
        <w:rPr>
          <w:rFonts w:cs="Arial"/>
          <w:szCs w:val="24"/>
        </w:rPr>
        <w:t>during</w:t>
      </w:r>
      <w:r w:rsidR="0083548B">
        <w:rPr>
          <w:rFonts w:cs="Arial"/>
          <w:szCs w:val="24"/>
        </w:rPr>
        <w:t xml:space="preserve"> the 18 months </w:t>
      </w:r>
      <w:r w:rsidR="00A565D1">
        <w:rPr>
          <w:rFonts w:cs="Arial"/>
          <w:szCs w:val="24"/>
        </w:rPr>
        <w:t xml:space="preserve">to January 2024. </w:t>
      </w:r>
    </w:p>
    <w:p w14:paraId="73BA61ED" w14:textId="0F571AE2" w:rsidR="00A565D1" w:rsidRDefault="00A565D1" w:rsidP="0051475A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>
        <w:rPr>
          <w:rFonts w:cs="Arial"/>
          <w:szCs w:val="24"/>
        </w:rPr>
        <w:t>Between January and June 2024</w:t>
      </w:r>
      <w:r w:rsidR="00920149">
        <w:rPr>
          <w:rFonts w:cs="Arial"/>
          <w:szCs w:val="24"/>
        </w:rPr>
        <w:t>,</w:t>
      </w:r>
      <w:r w:rsidR="001B7449">
        <w:rPr>
          <w:rFonts w:cs="Arial"/>
          <w:szCs w:val="24"/>
        </w:rPr>
        <w:t xml:space="preserve"> the Claimant Count increased</w:t>
      </w:r>
      <w:r w:rsidR="00530250">
        <w:rPr>
          <w:rFonts w:cs="Arial"/>
          <w:szCs w:val="24"/>
        </w:rPr>
        <w:t xml:space="preserve">, at a relatively </w:t>
      </w:r>
      <w:r w:rsidR="00385B4B">
        <w:rPr>
          <w:rFonts w:cs="Arial"/>
          <w:szCs w:val="24"/>
        </w:rPr>
        <w:t>slow</w:t>
      </w:r>
      <w:r w:rsidR="00530250">
        <w:rPr>
          <w:rFonts w:cs="Arial"/>
          <w:szCs w:val="24"/>
        </w:rPr>
        <w:t xml:space="preserve"> rate.  </w:t>
      </w:r>
    </w:p>
    <w:p w14:paraId="10453046" w14:textId="07DAB03A" w:rsidR="00920149" w:rsidRDefault="00920149" w:rsidP="0051475A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Between June 2024 and </w:t>
      </w:r>
      <w:r w:rsidR="00601BC7">
        <w:rPr>
          <w:rFonts w:cs="Arial"/>
          <w:szCs w:val="24"/>
        </w:rPr>
        <w:t>August</w:t>
      </w:r>
      <w:r>
        <w:rPr>
          <w:rFonts w:cs="Arial"/>
          <w:szCs w:val="24"/>
        </w:rPr>
        <w:t xml:space="preserve"> 2024, the Count increased </w:t>
      </w:r>
      <w:r w:rsidR="00864C1F">
        <w:rPr>
          <w:rFonts w:cs="Arial"/>
          <w:szCs w:val="24"/>
        </w:rPr>
        <w:t xml:space="preserve">more </w:t>
      </w:r>
      <w:r w:rsidR="00530250">
        <w:rPr>
          <w:rFonts w:cs="Arial"/>
          <w:szCs w:val="24"/>
        </w:rPr>
        <w:t xml:space="preserve">sharply.  </w:t>
      </w:r>
    </w:p>
    <w:p w14:paraId="19D6CC0B" w14:textId="76DC22AD" w:rsidR="00086A7D" w:rsidRDefault="006043DF" w:rsidP="0051475A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>
        <w:rPr>
          <w:rFonts w:cs="Arial"/>
          <w:szCs w:val="24"/>
        </w:rPr>
        <w:t>Th</w:t>
      </w:r>
      <w:r w:rsidR="00CD777D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sharp increase was due</w:t>
      </w:r>
      <w:r w:rsidR="00CD777D">
        <w:rPr>
          <w:rFonts w:cs="Arial"/>
          <w:szCs w:val="24"/>
        </w:rPr>
        <w:t xml:space="preserve"> administrative changes </w:t>
      </w:r>
      <w:r w:rsidR="00AD4A31">
        <w:rPr>
          <w:rFonts w:cs="Arial"/>
          <w:szCs w:val="24"/>
        </w:rPr>
        <w:t xml:space="preserve">introduced in May 2024 </w:t>
      </w:r>
      <w:r w:rsidR="00CD777D">
        <w:rPr>
          <w:rFonts w:cs="Arial"/>
          <w:szCs w:val="24"/>
        </w:rPr>
        <w:t>which mean</w:t>
      </w:r>
      <w:r w:rsidR="00864C1F">
        <w:rPr>
          <w:rFonts w:cs="Arial"/>
          <w:szCs w:val="24"/>
        </w:rPr>
        <w:t>t</w:t>
      </w:r>
      <w:r w:rsidR="00CD777D">
        <w:rPr>
          <w:rFonts w:cs="Arial"/>
          <w:szCs w:val="24"/>
        </w:rPr>
        <w:t xml:space="preserve"> that</w:t>
      </w:r>
      <w:r>
        <w:rPr>
          <w:rFonts w:cs="Arial"/>
          <w:szCs w:val="24"/>
        </w:rPr>
        <w:t xml:space="preserve"> more people </w:t>
      </w:r>
      <w:r w:rsidR="00864C1F">
        <w:rPr>
          <w:rFonts w:cs="Arial"/>
          <w:szCs w:val="24"/>
        </w:rPr>
        <w:t xml:space="preserve">in </w:t>
      </w:r>
      <w:r w:rsidR="00AD4A31">
        <w:rPr>
          <w:rFonts w:cs="Arial"/>
          <w:szCs w:val="24"/>
        </w:rPr>
        <w:t>work</w:t>
      </w:r>
      <w:r w:rsidR="004E1DC8">
        <w:rPr>
          <w:rFonts w:cs="Arial"/>
          <w:szCs w:val="24"/>
        </w:rPr>
        <w:t xml:space="preserve"> (on low hours / pay) </w:t>
      </w:r>
      <w:r w:rsidR="00925BE8">
        <w:rPr>
          <w:rFonts w:cs="Arial"/>
          <w:szCs w:val="24"/>
        </w:rPr>
        <w:t xml:space="preserve">were </w:t>
      </w:r>
      <w:r w:rsidR="00A356AB">
        <w:rPr>
          <w:rFonts w:cs="Arial"/>
          <w:szCs w:val="24"/>
        </w:rPr>
        <w:t xml:space="preserve">required to </w:t>
      </w:r>
      <w:r w:rsidR="00383927">
        <w:rPr>
          <w:rFonts w:cs="Arial"/>
          <w:szCs w:val="24"/>
        </w:rPr>
        <w:t>increase their hours or</w:t>
      </w:r>
      <w:r w:rsidR="00212BAD">
        <w:rPr>
          <w:rFonts w:cs="Arial"/>
          <w:szCs w:val="24"/>
        </w:rPr>
        <w:t xml:space="preserve"> </w:t>
      </w:r>
      <w:r w:rsidR="00383927">
        <w:rPr>
          <w:rFonts w:cs="Arial"/>
          <w:szCs w:val="24"/>
        </w:rPr>
        <w:t>evidence they are looking for work</w:t>
      </w:r>
      <w:r w:rsidR="00925BE8">
        <w:rPr>
          <w:rFonts w:cs="Arial"/>
          <w:szCs w:val="24"/>
        </w:rPr>
        <w:t xml:space="preserve"> </w:t>
      </w:r>
      <w:proofErr w:type="gramStart"/>
      <w:r w:rsidR="00925BE8">
        <w:rPr>
          <w:rFonts w:cs="Arial"/>
          <w:szCs w:val="24"/>
        </w:rPr>
        <w:t>in order</w:t>
      </w:r>
      <w:r w:rsidR="00383927">
        <w:rPr>
          <w:rFonts w:cs="Arial"/>
          <w:szCs w:val="24"/>
        </w:rPr>
        <w:t xml:space="preserve"> to</w:t>
      </w:r>
      <w:proofErr w:type="gramEnd"/>
      <w:r w:rsidR="00383927">
        <w:rPr>
          <w:rFonts w:cs="Arial"/>
          <w:szCs w:val="24"/>
        </w:rPr>
        <w:t xml:space="preserve"> claim Universal Credit</w:t>
      </w:r>
      <w:r w:rsidR="00791D23">
        <w:rPr>
          <w:rFonts w:cs="Arial"/>
          <w:szCs w:val="24"/>
        </w:rPr>
        <w:t xml:space="preserve"> (UC)</w:t>
      </w:r>
      <w:r w:rsidR="00F50388">
        <w:rPr>
          <w:rFonts w:cs="Arial"/>
          <w:szCs w:val="24"/>
        </w:rPr>
        <w:t xml:space="preserve">. They </w:t>
      </w:r>
      <w:r w:rsidR="00925BE8">
        <w:rPr>
          <w:rFonts w:cs="Arial"/>
          <w:szCs w:val="24"/>
        </w:rPr>
        <w:t xml:space="preserve">were </w:t>
      </w:r>
      <w:r w:rsidR="00385B4B">
        <w:rPr>
          <w:rFonts w:cs="Arial"/>
          <w:szCs w:val="24"/>
        </w:rPr>
        <w:t xml:space="preserve">therefore </w:t>
      </w:r>
      <w:r w:rsidR="00C23F9B">
        <w:rPr>
          <w:rFonts w:cs="Arial"/>
          <w:szCs w:val="24"/>
        </w:rPr>
        <w:t xml:space="preserve">moved to the Universal Credit ‘searching for work’ </w:t>
      </w:r>
      <w:r w:rsidR="00F50388">
        <w:rPr>
          <w:rFonts w:cs="Arial"/>
          <w:szCs w:val="24"/>
        </w:rPr>
        <w:t>category</w:t>
      </w:r>
      <w:r w:rsidR="00C23F9B">
        <w:rPr>
          <w:rFonts w:cs="Arial"/>
          <w:szCs w:val="24"/>
        </w:rPr>
        <w:t xml:space="preserve">, and as a result </w:t>
      </w:r>
      <w:r w:rsidR="00385B4B">
        <w:rPr>
          <w:rFonts w:cs="Arial"/>
          <w:szCs w:val="24"/>
        </w:rPr>
        <w:t xml:space="preserve">counted within the Claimant Count.  </w:t>
      </w:r>
    </w:p>
    <w:p w14:paraId="26209117" w14:textId="44B6E5EF" w:rsidR="00601BC7" w:rsidRDefault="000A47DC" w:rsidP="0051475A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Between </w:t>
      </w:r>
      <w:r w:rsidR="004462E4">
        <w:rPr>
          <w:rFonts w:cs="Arial"/>
          <w:szCs w:val="24"/>
        </w:rPr>
        <w:t>May</w:t>
      </w:r>
      <w:r>
        <w:rPr>
          <w:rFonts w:cs="Arial"/>
          <w:szCs w:val="24"/>
        </w:rPr>
        <w:t xml:space="preserve"> and July 2024, the number of people within the Claimant Count who are not working </w:t>
      </w:r>
      <w:r w:rsidR="00270A0A">
        <w:rPr>
          <w:rFonts w:cs="Arial"/>
          <w:szCs w:val="24"/>
        </w:rPr>
        <w:t xml:space="preserve">(i.e. unemployed) </w:t>
      </w:r>
      <w:r>
        <w:rPr>
          <w:rFonts w:cs="Arial"/>
          <w:szCs w:val="24"/>
        </w:rPr>
        <w:t xml:space="preserve">increased by </w:t>
      </w:r>
      <w:r w:rsidR="004462E4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%, whilst the number of people </w:t>
      </w:r>
      <w:r w:rsidR="000C4F5D">
        <w:rPr>
          <w:rFonts w:cs="Arial"/>
          <w:szCs w:val="24"/>
        </w:rPr>
        <w:t xml:space="preserve">within the Claimant Count </w:t>
      </w:r>
      <w:r w:rsidR="00791D23">
        <w:rPr>
          <w:rFonts w:cs="Arial"/>
          <w:szCs w:val="24"/>
        </w:rPr>
        <w:t xml:space="preserve">who are in work increased by </w:t>
      </w:r>
      <w:r w:rsidR="004462E4">
        <w:rPr>
          <w:rFonts w:cs="Arial"/>
          <w:szCs w:val="24"/>
        </w:rPr>
        <w:t>51</w:t>
      </w:r>
      <w:r w:rsidR="00791D23">
        <w:rPr>
          <w:rFonts w:cs="Arial"/>
          <w:szCs w:val="24"/>
        </w:rPr>
        <w:t xml:space="preserve">%. </w:t>
      </w:r>
    </w:p>
    <w:p w14:paraId="11D30283" w14:textId="77777777" w:rsidR="0001080B" w:rsidRPr="00383927" w:rsidRDefault="0001080B" w:rsidP="00383927">
      <w:pPr>
        <w:ind w:left="360"/>
        <w:rPr>
          <w:rFonts w:cs="Arial"/>
          <w:b/>
          <w:bCs/>
          <w:szCs w:val="24"/>
        </w:rPr>
      </w:pPr>
    </w:p>
    <w:p w14:paraId="37870920" w14:textId="77777777" w:rsidR="00791D23" w:rsidRDefault="00791D23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3688A998" w14:textId="48E5EB77" w:rsidR="00773A57" w:rsidRPr="0001080B" w:rsidRDefault="00236490" w:rsidP="002E5DE3">
      <w:pPr>
        <w:pStyle w:val="Heading3"/>
      </w:pPr>
      <w:r>
        <w:lastRenderedPageBreak/>
        <w:t>History of the Claimant Count and its use as a proxy measure of unemployment</w:t>
      </w:r>
    </w:p>
    <w:p w14:paraId="62838FD3" w14:textId="77777777" w:rsidR="00292C59" w:rsidRDefault="00292C59" w:rsidP="00292C59">
      <w:pPr>
        <w:rPr>
          <w:rFonts w:cs="Arial"/>
          <w:szCs w:val="24"/>
        </w:rPr>
      </w:pPr>
    </w:p>
    <w:p w14:paraId="21B9568A" w14:textId="06BC59B8" w:rsidR="00292C59" w:rsidRPr="0064114D" w:rsidRDefault="00BA5ECC" w:rsidP="00292C59">
      <w:pPr>
        <w:pStyle w:val="ListParagraph"/>
        <w:numPr>
          <w:ilvl w:val="0"/>
          <w:numId w:val="3"/>
        </w:numPr>
        <w:rPr>
          <w:rFonts w:cs="Arial"/>
          <w:b/>
          <w:bCs/>
          <w:szCs w:val="24"/>
        </w:rPr>
      </w:pPr>
      <w:r w:rsidRPr="0064114D">
        <w:rPr>
          <w:rFonts w:cs="Arial"/>
          <w:b/>
          <w:bCs/>
          <w:szCs w:val="24"/>
        </w:rPr>
        <w:t>Pre 2016</w:t>
      </w:r>
    </w:p>
    <w:p w14:paraId="3F239060" w14:textId="7E56075D" w:rsidR="00292C59" w:rsidRDefault="00292C59" w:rsidP="00292C59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We used the </w:t>
      </w:r>
      <w:r w:rsidR="00183628">
        <w:rPr>
          <w:rFonts w:cs="Arial"/>
          <w:szCs w:val="24"/>
        </w:rPr>
        <w:t>C</w:t>
      </w:r>
      <w:r>
        <w:rPr>
          <w:rFonts w:cs="Arial"/>
          <w:szCs w:val="24"/>
        </w:rPr>
        <w:t xml:space="preserve">laimant </w:t>
      </w:r>
      <w:r w:rsidR="00183628">
        <w:rPr>
          <w:rFonts w:cs="Arial"/>
          <w:szCs w:val="24"/>
        </w:rPr>
        <w:t>C</w:t>
      </w:r>
      <w:r>
        <w:rPr>
          <w:rFonts w:cs="Arial"/>
          <w:szCs w:val="24"/>
        </w:rPr>
        <w:t>ount as a proxy measure of unemployment</w:t>
      </w:r>
      <w:r w:rsidR="00ED0CC9">
        <w:rPr>
          <w:rFonts w:cs="Arial"/>
          <w:szCs w:val="24"/>
        </w:rPr>
        <w:t xml:space="preserve"> for Buckinghamshire</w:t>
      </w:r>
      <w:r w:rsidR="00017033">
        <w:rPr>
          <w:rFonts w:cs="Arial"/>
          <w:szCs w:val="24"/>
        </w:rPr>
        <w:t xml:space="preserve"> and its sub geographies</w:t>
      </w:r>
      <w:r w:rsidR="0032746A">
        <w:rPr>
          <w:rFonts w:cs="Arial"/>
          <w:szCs w:val="24"/>
        </w:rPr>
        <w:t>.</w:t>
      </w:r>
    </w:p>
    <w:p w14:paraId="4AA40292" w14:textId="3E3921D2" w:rsidR="00D26330" w:rsidRDefault="00183628" w:rsidP="00292C59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We used </w:t>
      </w:r>
      <w:r w:rsidR="00123772">
        <w:rPr>
          <w:rFonts w:cs="Arial"/>
          <w:szCs w:val="24"/>
        </w:rPr>
        <w:t>the Claimant Count</w:t>
      </w:r>
      <w:r w:rsidR="00ED0CC9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alongside </w:t>
      </w:r>
      <w:r w:rsidR="00123772">
        <w:rPr>
          <w:rFonts w:cs="Arial"/>
          <w:szCs w:val="24"/>
        </w:rPr>
        <w:t>survey estimates of unemployment</w:t>
      </w:r>
      <w:r w:rsidR="00ED0CC9">
        <w:rPr>
          <w:rFonts w:cs="Arial"/>
          <w:szCs w:val="24"/>
        </w:rPr>
        <w:t>,</w:t>
      </w:r>
      <w:r w:rsidR="00123772">
        <w:rPr>
          <w:rFonts w:cs="Arial"/>
          <w:szCs w:val="24"/>
        </w:rPr>
        <w:t xml:space="preserve"> as it </w:t>
      </w:r>
      <w:r w:rsidR="00302904">
        <w:rPr>
          <w:rFonts w:cs="Arial"/>
          <w:szCs w:val="24"/>
        </w:rPr>
        <w:t xml:space="preserve">was </w:t>
      </w:r>
      <w:r w:rsidR="006260AF">
        <w:rPr>
          <w:rFonts w:cs="Arial"/>
          <w:szCs w:val="24"/>
        </w:rPr>
        <w:t xml:space="preserve">deemed </w:t>
      </w:r>
      <w:r w:rsidR="00ED0CC9">
        <w:rPr>
          <w:rFonts w:cs="Arial"/>
          <w:szCs w:val="24"/>
        </w:rPr>
        <w:t xml:space="preserve">to be </w:t>
      </w:r>
      <w:r w:rsidR="006260AF">
        <w:rPr>
          <w:rFonts w:cs="Arial"/>
          <w:szCs w:val="24"/>
        </w:rPr>
        <w:t xml:space="preserve">accurate (based on administrative data), </w:t>
      </w:r>
      <w:r w:rsidR="00004611">
        <w:rPr>
          <w:rFonts w:cs="Arial"/>
          <w:szCs w:val="24"/>
        </w:rPr>
        <w:t xml:space="preserve">was </w:t>
      </w:r>
      <w:r w:rsidR="007E606C">
        <w:rPr>
          <w:rFonts w:cs="Arial"/>
          <w:szCs w:val="24"/>
        </w:rPr>
        <w:t xml:space="preserve">produced on a </w:t>
      </w:r>
      <w:r w:rsidR="006260AF">
        <w:rPr>
          <w:rFonts w:cs="Arial"/>
          <w:szCs w:val="24"/>
        </w:rPr>
        <w:t>timely</w:t>
      </w:r>
      <w:r w:rsidR="007E606C">
        <w:rPr>
          <w:rFonts w:cs="Arial"/>
          <w:szCs w:val="24"/>
        </w:rPr>
        <w:t xml:space="preserve"> basis (monthly)</w:t>
      </w:r>
      <w:r w:rsidR="00004611">
        <w:rPr>
          <w:rFonts w:cs="Arial"/>
          <w:szCs w:val="24"/>
        </w:rPr>
        <w:t xml:space="preserve">, was </w:t>
      </w:r>
      <w:r w:rsidR="00497614">
        <w:rPr>
          <w:rFonts w:cs="Arial"/>
          <w:szCs w:val="24"/>
        </w:rPr>
        <w:t>available</w:t>
      </w:r>
      <w:r w:rsidR="00004611">
        <w:rPr>
          <w:rFonts w:cs="Arial"/>
          <w:szCs w:val="24"/>
        </w:rPr>
        <w:t xml:space="preserve"> </w:t>
      </w:r>
      <w:r w:rsidR="005651BE">
        <w:rPr>
          <w:rFonts w:cs="Arial"/>
          <w:szCs w:val="24"/>
        </w:rPr>
        <w:t>for small geographies</w:t>
      </w:r>
      <w:r w:rsidR="007E606C">
        <w:rPr>
          <w:rFonts w:cs="Arial"/>
          <w:szCs w:val="24"/>
        </w:rPr>
        <w:t xml:space="preserve"> (</w:t>
      </w:r>
      <w:r w:rsidR="00A5549E">
        <w:rPr>
          <w:rFonts w:cs="Arial"/>
          <w:szCs w:val="24"/>
        </w:rPr>
        <w:t>e.g. ward level)</w:t>
      </w:r>
      <w:r w:rsidR="00004611">
        <w:rPr>
          <w:rFonts w:cs="Arial"/>
          <w:szCs w:val="24"/>
        </w:rPr>
        <w:t xml:space="preserve"> and </w:t>
      </w:r>
      <w:r w:rsidR="00497614">
        <w:rPr>
          <w:rFonts w:cs="Arial"/>
          <w:szCs w:val="24"/>
        </w:rPr>
        <w:t xml:space="preserve">allowed for disaggregation by age and gender. </w:t>
      </w:r>
      <w:r w:rsidR="000C14D6">
        <w:rPr>
          <w:rFonts w:cs="Arial"/>
          <w:szCs w:val="24"/>
        </w:rPr>
        <w:t xml:space="preserve"> </w:t>
      </w:r>
    </w:p>
    <w:p w14:paraId="4FDB6D5F" w14:textId="2B35A90D" w:rsidR="00183628" w:rsidRDefault="000C14D6" w:rsidP="00292C59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Survey estimates of unemployment </w:t>
      </w:r>
      <w:r w:rsidR="00D26330">
        <w:rPr>
          <w:rFonts w:cs="Arial"/>
          <w:szCs w:val="24"/>
        </w:rPr>
        <w:t>were</w:t>
      </w:r>
      <w:r>
        <w:rPr>
          <w:rFonts w:cs="Arial"/>
          <w:szCs w:val="24"/>
        </w:rPr>
        <w:t xml:space="preserve"> produced quarterly</w:t>
      </w:r>
      <w:r w:rsidR="0056287C">
        <w:rPr>
          <w:rFonts w:cs="Arial"/>
          <w:szCs w:val="24"/>
        </w:rPr>
        <w:t xml:space="preserve">, </w:t>
      </w:r>
      <w:r w:rsidR="00D26330">
        <w:rPr>
          <w:rFonts w:cs="Arial"/>
          <w:szCs w:val="24"/>
        </w:rPr>
        <w:t>were</w:t>
      </w:r>
      <w:r w:rsidR="009178F0">
        <w:rPr>
          <w:rFonts w:cs="Arial"/>
          <w:szCs w:val="24"/>
        </w:rPr>
        <w:t xml:space="preserve"> not available at sub-county level</w:t>
      </w:r>
      <w:r w:rsidR="00E84F2A">
        <w:rPr>
          <w:rFonts w:cs="Arial"/>
          <w:szCs w:val="24"/>
        </w:rPr>
        <w:t>,</w:t>
      </w:r>
      <w:r w:rsidR="0056287C">
        <w:rPr>
          <w:rFonts w:cs="Arial"/>
          <w:szCs w:val="24"/>
        </w:rPr>
        <w:t xml:space="preserve"> and </w:t>
      </w:r>
      <w:r w:rsidR="00E84F2A">
        <w:rPr>
          <w:rFonts w:cs="Arial"/>
          <w:szCs w:val="24"/>
        </w:rPr>
        <w:t xml:space="preserve">small </w:t>
      </w:r>
      <w:r w:rsidR="0056287C">
        <w:rPr>
          <w:rFonts w:cs="Arial"/>
          <w:szCs w:val="24"/>
        </w:rPr>
        <w:t>sample size</w:t>
      </w:r>
      <w:r w:rsidR="00197A15">
        <w:rPr>
          <w:rFonts w:cs="Arial"/>
          <w:szCs w:val="24"/>
        </w:rPr>
        <w:t>s</w:t>
      </w:r>
      <w:r w:rsidR="0056287C">
        <w:rPr>
          <w:rFonts w:cs="Arial"/>
          <w:szCs w:val="24"/>
        </w:rPr>
        <w:t xml:space="preserve"> did not allow for data to be disaggregated by age and gender. </w:t>
      </w:r>
      <w:r w:rsidR="00197A15">
        <w:rPr>
          <w:rFonts w:cs="Arial"/>
          <w:szCs w:val="24"/>
        </w:rPr>
        <w:t xml:space="preserve"> </w:t>
      </w:r>
    </w:p>
    <w:p w14:paraId="6B2D5934" w14:textId="350BFB18" w:rsidR="00292C59" w:rsidRDefault="0056287C" w:rsidP="00292C59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>At this time, t</w:t>
      </w:r>
      <w:r w:rsidR="00016604">
        <w:rPr>
          <w:rFonts w:cs="Arial"/>
          <w:szCs w:val="24"/>
        </w:rPr>
        <w:t xml:space="preserve">he Claimant Count </w:t>
      </w:r>
      <w:r w:rsidR="00292C59">
        <w:rPr>
          <w:rFonts w:cs="Arial"/>
          <w:szCs w:val="24"/>
        </w:rPr>
        <w:t>was purely a measure of the number of people claiming unemployment-related benefits</w:t>
      </w:r>
      <w:r w:rsidR="00B13AC2">
        <w:rPr>
          <w:rFonts w:cs="Arial"/>
          <w:szCs w:val="24"/>
        </w:rPr>
        <w:t xml:space="preserve">.  </w:t>
      </w:r>
      <w:r w:rsidR="00F10BFA">
        <w:rPr>
          <w:rFonts w:cs="Arial"/>
          <w:szCs w:val="24"/>
        </w:rPr>
        <w:t>Which</w:t>
      </w:r>
      <w:r w:rsidR="00B13AC2">
        <w:rPr>
          <w:rFonts w:cs="Arial"/>
          <w:szCs w:val="24"/>
        </w:rPr>
        <w:t xml:space="preserve"> was </w:t>
      </w:r>
      <w:r w:rsidR="00292C59">
        <w:rPr>
          <w:rFonts w:cs="Arial"/>
          <w:szCs w:val="24"/>
        </w:rPr>
        <w:t>a significant sub-set of all those deemed to be unemployed</w:t>
      </w:r>
      <w:r w:rsidR="008B1F5A">
        <w:rPr>
          <w:rStyle w:val="FootnoteReference"/>
          <w:rFonts w:cs="Arial"/>
          <w:szCs w:val="24"/>
        </w:rPr>
        <w:footnoteReference w:id="3"/>
      </w:r>
      <w:r w:rsidR="00B13AC2">
        <w:rPr>
          <w:rFonts w:cs="Arial"/>
          <w:szCs w:val="24"/>
        </w:rPr>
        <w:t>.</w:t>
      </w:r>
    </w:p>
    <w:p w14:paraId="6CBF9C93" w14:textId="180FAA01" w:rsidR="00292C59" w:rsidRPr="0064114D" w:rsidRDefault="006A4B9F" w:rsidP="00292C59">
      <w:pPr>
        <w:pStyle w:val="ListParagraph"/>
        <w:numPr>
          <w:ilvl w:val="0"/>
          <w:numId w:val="3"/>
        </w:numPr>
        <w:rPr>
          <w:rFonts w:cs="Arial"/>
          <w:b/>
          <w:bCs/>
          <w:szCs w:val="24"/>
        </w:rPr>
      </w:pPr>
      <w:r w:rsidRPr="0064114D">
        <w:rPr>
          <w:rFonts w:cs="Arial"/>
          <w:b/>
          <w:bCs/>
          <w:szCs w:val="24"/>
        </w:rPr>
        <w:t>Since 2016</w:t>
      </w:r>
      <w:r w:rsidR="00AC5540" w:rsidRPr="0064114D">
        <w:rPr>
          <w:rFonts w:cs="Arial"/>
          <w:b/>
          <w:bCs/>
          <w:szCs w:val="24"/>
        </w:rPr>
        <w:t>…</w:t>
      </w:r>
      <w:r w:rsidR="00292C59" w:rsidRPr="0064114D">
        <w:rPr>
          <w:rFonts w:cs="Arial"/>
          <w:b/>
          <w:bCs/>
          <w:szCs w:val="24"/>
        </w:rPr>
        <w:t xml:space="preserve"> </w:t>
      </w:r>
    </w:p>
    <w:p w14:paraId="48B144E2" w14:textId="3EB4B0F1" w:rsidR="0068658A" w:rsidRDefault="00B13AC2" w:rsidP="00292C59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Following the introduction </w:t>
      </w:r>
      <w:r w:rsidR="0075508C">
        <w:rPr>
          <w:rFonts w:cs="Arial"/>
          <w:szCs w:val="24"/>
        </w:rPr>
        <w:t xml:space="preserve">of Universal Credit, the </w:t>
      </w:r>
      <w:r w:rsidR="00627CD6">
        <w:rPr>
          <w:rFonts w:cs="Arial"/>
          <w:szCs w:val="24"/>
        </w:rPr>
        <w:t>Claimant Count became a count of the number of people on Universal Credit in the ‘searching for work’ category</w:t>
      </w:r>
      <w:r w:rsidR="004C35E4">
        <w:rPr>
          <w:rFonts w:cs="Arial"/>
          <w:szCs w:val="24"/>
        </w:rPr>
        <w:t>, plus those on the legacy Jobseekers Allowance</w:t>
      </w:r>
      <w:r w:rsidR="0075508C">
        <w:rPr>
          <w:rFonts w:cs="Arial"/>
          <w:szCs w:val="24"/>
        </w:rPr>
        <w:t xml:space="preserve"> benefit</w:t>
      </w:r>
      <w:r w:rsidR="004C35E4">
        <w:rPr>
          <w:rFonts w:cs="Arial"/>
          <w:szCs w:val="24"/>
        </w:rPr>
        <w:t xml:space="preserve">. </w:t>
      </w:r>
    </w:p>
    <w:p w14:paraId="6C253905" w14:textId="79EA4153" w:rsidR="00C349B5" w:rsidRDefault="0045549A" w:rsidP="00292C59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Between 2016 and 2024, </w:t>
      </w:r>
      <w:r w:rsidR="00C349B5">
        <w:rPr>
          <w:rFonts w:cs="Arial"/>
          <w:szCs w:val="24"/>
        </w:rPr>
        <w:t xml:space="preserve">Universal Credit was </w:t>
      </w:r>
      <w:r w:rsidR="00B11ABE">
        <w:rPr>
          <w:rFonts w:cs="Arial"/>
          <w:szCs w:val="24"/>
        </w:rPr>
        <w:t xml:space="preserve">rolled out </w:t>
      </w:r>
      <w:r w:rsidR="00975869">
        <w:rPr>
          <w:rFonts w:cs="Arial"/>
          <w:szCs w:val="24"/>
        </w:rPr>
        <w:t xml:space="preserve">across the county </w:t>
      </w:r>
      <w:r w:rsidR="00B11ABE">
        <w:rPr>
          <w:rFonts w:cs="Arial"/>
          <w:szCs w:val="24"/>
        </w:rPr>
        <w:t xml:space="preserve">and </w:t>
      </w:r>
      <w:r w:rsidR="00975869">
        <w:rPr>
          <w:rFonts w:cs="Arial"/>
          <w:szCs w:val="24"/>
        </w:rPr>
        <w:t>claimants</w:t>
      </w:r>
      <w:r w:rsidR="00B11ABE">
        <w:rPr>
          <w:rFonts w:cs="Arial"/>
          <w:szCs w:val="24"/>
        </w:rPr>
        <w:t xml:space="preserve"> gradually moved to it from legacy benefits</w:t>
      </w:r>
      <w:r w:rsidR="00C349B5">
        <w:rPr>
          <w:rFonts w:cs="Arial"/>
          <w:szCs w:val="24"/>
        </w:rPr>
        <w:t>.</w:t>
      </w:r>
      <w:r w:rsidR="00430C80">
        <w:rPr>
          <w:rFonts w:cs="Arial"/>
          <w:szCs w:val="24"/>
        </w:rPr>
        <w:t xml:space="preserve">  </w:t>
      </w:r>
    </w:p>
    <w:p w14:paraId="39FA2903" w14:textId="61ADE0B7" w:rsidR="00C349B5" w:rsidRDefault="00C349B5" w:rsidP="00292C59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>In addition, changes</w:t>
      </w:r>
      <w:r w:rsidR="00E22ED4">
        <w:rPr>
          <w:rFonts w:cs="Arial"/>
          <w:szCs w:val="24"/>
        </w:rPr>
        <w:t xml:space="preserve"> were made to who </w:t>
      </w:r>
      <w:r w:rsidR="00A77964">
        <w:rPr>
          <w:rFonts w:cs="Arial"/>
          <w:szCs w:val="24"/>
        </w:rPr>
        <w:t>was</w:t>
      </w:r>
      <w:r w:rsidR="00E22ED4">
        <w:rPr>
          <w:rFonts w:cs="Arial"/>
          <w:szCs w:val="24"/>
        </w:rPr>
        <w:t xml:space="preserve"> </w:t>
      </w:r>
      <w:r w:rsidR="003B4F5F">
        <w:rPr>
          <w:rFonts w:cs="Arial"/>
          <w:szCs w:val="24"/>
        </w:rPr>
        <w:t>included</w:t>
      </w:r>
      <w:r w:rsidR="00E22ED4">
        <w:rPr>
          <w:rFonts w:cs="Arial"/>
          <w:szCs w:val="24"/>
        </w:rPr>
        <w:t xml:space="preserve"> in the</w:t>
      </w:r>
      <w:r w:rsidR="000C00CC">
        <w:rPr>
          <w:rFonts w:cs="Arial"/>
          <w:szCs w:val="24"/>
        </w:rPr>
        <w:t xml:space="preserve"> Universal Credit</w:t>
      </w:r>
      <w:r w:rsidR="00E22ED4">
        <w:rPr>
          <w:rFonts w:cs="Arial"/>
          <w:szCs w:val="24"/>
        </w:rPr>
        <w:t xml:space="preserve"> ‘searching for work’ category</w:t>
      </w:r>
      <w:r w:rsidR="002453B2">
        <w:rPr>
          <w:rFonts w:cs="Arial"/>
          <w:szCs w:val="24"/>
        </w:rPr>
        <w:t>, which meant that more people were included who weren’t technically unemployed as they were workin</w:t>
      </w:r>
      <w:r w:rsidR="00F15E0F">
        <w:rPr>
          <w:rFonts w:cs="Arial"/>
          <w:szCs w:val="24"/>
        </w:rPr>
        <w:t>g for a few hours / on low wages.</w:t>
      </w:r>
      <w:r>
        <w:rPr>
          <w:rFonts w:cs="Arial"/>
          <w:szCs w:val="24"/>
        </w:rPr>
        <w:t xml:space="preserve"> </w:t>
      </w:r>
    </w:p>
    <w:p w14:paraId="65A422C7" w14:textId="5019C48E" w:rsidR="00535150" w:rsidRDefault="00535150" w:rsidP="00292C59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Between January 2016 and </w:t>
      </w:r>
      <w:r w:rsidR="004541A8">
        <w:rPr>
          <w:rFonts w:cs="Arial"/>
          <w:szCs w:val="24"/>
        </w:rPr>
        <w:t>March 2023 to April 2024</w:t>
      </w:r>
      <w:r>
        <w:rPr>
          <w:rFonts w:cs="Arial"/>
          <w:szCs w:val="24"/>
        </w:rPr>
        <w:t xml:space="preserve">, the proportion of those within the Claimant Count </w:t>
      </w:r>
      <w:r w:rsidR="00876E7D">
        <w:rPr>
          <w:rFonts w:cs="Arial"/>
          <w:szCs w:val="24"/>
        </w:rPr>
        <w:t xml:space="preserve">who were </w:t>
      </w:r>
      <w:r w:rsidR="003D410B">
        <w:rPr>
          <w:rFonts w:cs="Arial"/>
          <w:szCs w:val="24"/>
        </w:rPr>
        <w:t>‘</w:t>
      </w:r>
      <w:r w:rsidR="00876E7D">
        <w:rPr>
          <w:rFonts w:cs="Arial"/>
          <w:szCs w:val="24"/>
        </w:rPr>
        <w:t>in work</w:t>
      </w:r>
      <w:r w:rsidR="003D410B">
        <w:rPr>
          <w:rFonts w:cs="Arial"/>
          <w:szCs w:val="24"/>
        </w:rPr>
        <w:t>’</w:t>
      </w:r>
      <w:r w:rsidR="00876E7D">
        <w:rPr>
          <w:rFonts w:cs="Arial"/>
          <w:szCs w:val="24"/>
        </w:rPr>
        <w:t xml:space="preserve"> increased from 3% to </w:t>
      </w:r>
      <w:r w:rsidR="004541A8">
        <w:rPr>
          <w:rFonts w:cs="Arial"/>
          <w:szCs w:val="24"/>
        </w:rPr>
        <w:t xml:space="preserve">approximately </w:t>
      </w:r>
      <w:r w:rsidR="003D410B">
        <w:rPr>
          <w:rFonts w:cs="Arial"/>
          <w:szCs w:val="24"/>
        </w:rPr>
        <w:t xml:space="preserve">17%.  </w:t>
      </w:r>
    </w:p>
    <w:p w14:paraId="5B19B576" w14:textId="7B8C6CAF" w:rsidR="00292C59" w:rsidRPr="0064114D" w:rsidRDefault="00017A3E" w:rsidP="00292C59">
      <w:pPr>
        <w:pStyle w:val="ListParagraph"/>
        <w:numPr>
          <w:ilvl w:val="0"/>
          <w:numId w:val="3"/>
        </w:numPr>
        <w:rPr>
          <w:rFonts w:cs="Arial"/>
          <w:b/>
          <w:bCs/>
          <w:szCs w:val="24"/>
        </w:rPr>
      </w:pPr>
      <w:r w:rsidRPr="0064114D">
        <w:rPr>
          <w:rFonts w:cs="Arial"/>
          <w:b/>
          <w:bCs/>
          <w:szCs w:val="24"/>
        </w:rPr>
        <w:t>This</w:t>
      </w:r>
      <w:r w:rsidR="00E80011" w:rsidRPr="0064114D">
        <w:rPr>
          <w:rFonts w:cs="Arial"/>
          <w:b/>
          <w:bCs/>
          <w:szCs w:val="24"/>
        </w:rPr>
        <w:t xml:space="preserve"> </w:t>
      </w:r>
      <w:r w:rsidR="00AC5540" w:rsidRPr="0064114D">
        <w:rPr>
          <w:rFonts w:cs="Arial"/>
          <w:b/>
          <w:bCs/>
          <w:szCs w:val="24"/>
        </w:rPr>
        <w:t xml:space="preserve">year… </w:t>
      </w:r>
    </w:p>
    <w:p w14:paraId="302FE5C8" w14:textId="18ECF8D0" w:rsidR="00F2131E" w:rsidRPr="007E507A" w:rsidRDefault="00017A3E" w:rsidP="00F2131E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>In May 2024, t</w:t>
      </w:r>
      <w:r w:rsidR="00F2131E">
        <w:rPr>
          <w:rFonts w:cs="Arial"/>
          <w:szCs w:val="24"/>
        </w:rPr>
        <w:t xml:space="preserve">he Administrative Earnings Threshold (AET), which determines </w:t>
      </w:r>
      <w:proofErr w:type="gramStart"/>
      <w:r w:rsidR="00F2131E">
        <w:rPr>
          <w:rFonts w:cs="Arial"/>
          <w:szCs w:val="24"/>
        </w:rPr>
        <w:t>whether or not</w:t>
      </w:r>
      <w:proofErr w:type="gramEnd"/>
      <w:r w:rsidR="00F2131E">
        <w:rPr>
          <w:rFonts w:cs="Arial"/>
          <w:szCs w:val="24"/>
        </w:rPr>
        <w:t xml:space="preserve"> claimants are placed in the ‘searching for work’, category was increased </w:t>
      </w:r>
      <w:r w:rsidR="00F2131E" w:rsidRPr="007E507A">
        <w:rPr>
          <w:rFonts w:cs="Arial"/>
          <w:szCs w:val="24"/>
        </w:rPr>
        <w:t xml:space="preserve">to £892 a month (gross) for single claimants and £1,437 </w:t>
      </w:r>
      <w:r w:rsidR="00F2131E">
        <w:rPr>
          <w:rFonts w:cs="Arial"/>
          <w:szCs w:val="24"/>
        </w:rPr>
        <w:t xml:space="preserve">(gross) </w:t>
      </w:r>
      <w:r w:rsidR="00F2131E" w:rsidRPr="007E507A">
        <w:rPr>
          <w:rFonts w:cs="Arial"/>
          <w:szCs w:val="24"/>
        </w:rPr>
        <w:t xml:space="preserve">for joint claimants.  </w:t>
      </w:r>
    </w:p>
    <w:p w14:paraId="2BAA8732" w14:textId="11FC2B58" w:rsidR="004969F0" w:rsidRDefault="00984B5F" w:rsidP="003925D8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This means that </w:t>
      </w:r>
      <w:r w:rsidRPr="00984B5F">
        <w:rPr>
          <w:rFonts w:cs="Arial"/>
          <w:szCs w:val="24"/>
        </w:rPr>
        <w:t xml:space="preserve">those working </w:t>
      </w:r>
      <w:r w:rsidR="00807C2A">
        <w:rPr>
          <w:rFonts w:cs="Arial"/>
          <w:szCs w:val="24"/>
        </w:rPr>
        <w:t>who are earning a</w:t>
      </w:r>
      <w:r w:rsidRPr="00984B5F">
        <w:rPr>
          <w:rFonts w:cs="Arial"/>
          <w:szCs w:val="24"/>
        </w:rPr>
        <w:t xml:space="preserve"> wage below the new AET (equivalent to 18 hours at minimum wage) are now required to ‘search for work</w:t>
      </w:r>
      <w:r w:rsidR="00073273">
        <w:rPr>
          <w:rFonts w:cs="Arial"/>
          <w:szCs w:val="24"/>
        </w:rPr>
        <w:t>’</w:t>
      </w:r>
      <w:r w:rsidR="00872BB0">
        <w:rPr>
          <w:rFonts w:cs="Arial"/>
          <w:szCs w:val="24"/>
        </w:rPr>
        <w:t xml:space="preserve"> </w:t>
      </w:r>
      <w:r w:rsidR="00930B5E">
        <w:rPr>
          <w:rFonts w:cs="Arial"/>
          <w:szCs w:val="24"/>
        </w:rPr>
        <w:t xml:space="preserve">and are therefore included within the Claimant Count. </w:t>
      </w:r>
      <w:r w:rsidR="0036702F">
        <w:rPr>
          <w:rFonts w:cs="Arial"/>
          <w:szCs w:val="24"/>
        </w:rPr>
        <w:t xml:space="preserve"> The previous AET was equivalent to 15 hours at minimum wage. </w:t>
      </w:r>
    </w:p>
    <w:p w14:paraId="685CC3DB" w14:textId="45461373" w:rsidR="00130048" w:rsidRDefault="00130048" w:rsidP="003925D8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The change is being rolled out between May and November 2024, meaning that </w:t>
      </w:r>
      <w:r w:rsidRPr="006750D5">
        <w:rPr>
          <w:rFonts w:cs="Arial"/>
          <w:szCs w:val="24"/>
        </w:rPr>
        <w:t>the Claimant Count will increase during this time and that a</w:t>
      </w:r>
      <w:r w:rsidR="00FB7F88">
        <w:rPr>
          <w:rFonts w:cs="Arial"/>
          <w:szCs w:val="24"/>
        </w:rPr>
        <w:t>n even</w:t>
      </w:r>
      <w:r w:rsidRPr="006750D5">
        <w:rPr>
          <w:rFonts w:cs="Arial"/>
          <w:szCs w:val="24"/>
        </w:rPr>
        <w:t xml:space="preserve"> greater proportion of those included within the Count will be </w:t>
      </w:r>
      <w:r w:rsidR="00B34B76">
        <w:rPr>
          <w:rFonts w:cs="Arial"/>
          <w:szCs w:val="24"/>
        </w:rPr>
        <w:t xml:space="preserve">in work. </w:t>
      </w:r>
    </w:p>
    <w:p w14:paraId="466C122D" w14:textId="66FD01FE" w:rsidR="0064114D" w:rsidRDefault="003F3B46" w:rsidP="0064114D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>We estimate that in July 2024, 21% of Claimants were in work</w:t>
      </w:r>
      <w:r w:rsidR="00875C16">
        <w:rPr>
          <w:rFonts w:cs="Arial"/>
          <w:szCs w:val="24"/>
        </w:rPr>
        <w:t xml:space="preserve"> (</w:t>
      </w:r>
      <w:hyperlink w:anchor="_Chart_3:_Estimate" w:history="1">
        <w:r w:rsidR="00875C16" w:rsidRPr="00875C16">
          <w:rPr>
            <w:rStyle w:val="Hyperlink"/>
            <w:rFonts w:cs="Arial"/>
            <w:szCs w:val="24"/>
          </w:rPr>
          <w:t>chart 3</w:t>
        </w:r>
      </w:hyperlink>
      <w:r w:rsidR="00875C16">
        <w:rPr>
          <w:rFonts w:cs="Arial"/>
          <w:szCs w:val="24"/>
        </w:rPr>
        <w:t>)</w:t>
      </w:r>
      <w:r w:rsidR="0013778A">
        <w:rPr>
          <w:rFonts w:cs="Arial"/>
          <w:szCs w:val="24"/>
        </w:rPr>
        <w:t>, and that this proportion could increase further over the coming months</w:t>
      </w:r>
      <w:r>
        <w:rPr>
          <w:rFonts w:cs="Arial"/>
          <w:szCs w:val="24"/>
        </w:rPr>
        <w:t xml:space="preserve">.  </w:t>
      </w:r>
    </w:p>
    <w:p w14:paraId="46EA7788" w14:textId="00DD2976" w:rsidR="0064114D" w:rsidRPr="0064114D" w:rsidRDefault="00EB4438" w:rsidP="0064114D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lastRenderedPageBreak/>
        <w:t>Therefore,</w:t>
      </w:r>
      <w:r w:rsidR="0064114D" w:rsidRPr="0064114D">
        <w:rPr>
          <w:rFonts w:cs="Arial"/>
          <w:szCs w:val="24"/>
        </w:rPr>
        <w:t xml:space="preserve"> we should no longer be using the Claimant Count </w:t>
      </w:r>
      <w:r w:rsidR="0064114D" w:rsidRPr="0064114D">
        <w:rPr>
          <w:rFonts w:cs="Arial"/>
          <w:b/>
          <w:bCs/>
          <w:szCs w:val="24"/>
        </w:rPr>
        <w:t>solely as a proxy for unemployment</w:t>
      </w:r>
      <w:r w:rsidR="0064114D" w:rsidRPr="0064114D">
        <w:rPr>
          <w:rFonts w:cs="Arial"/>
          <w:szCs w:val="24"/>
        </w:rPr>
        <w:t xml:space="preserve">.  Rather it should be used as a proxy for </w:t>
      </w:r>
      <w:r w:rsidR="0064114D" w:rsidRPr="0064114D">
        <w:rPr>
          <w:rFonts w:cs="Arial"/>
          <w:b/>
          <w:bCs/>
          <w:szCs w:val="24"/>
        </w:rPr>
        <w:t>unemployment and underemployment</w:t>
      </w:r>
      <w:r w:rsidR="0064114D">
        <w:rPr>
          <w:rStyle w:val="FootnoteReference"/>
          <w:rFonts w:cs="Arial"/>
          <w:b/>
          <w:bCs/>
          <w:szCs w:val="24"/>
        </w:rPr>
        <w:footnoteReference w:id="4"/>
      </w:r>
      <w:r w:rsidR="0064114D" w:rsidRPr="0064114D">
        <w:rPr>
          <w:rFonts w:cs="Arial"/>
          <w:szCs w:val="24"/>
        </w:rPr>
        <w:t xml:space="preserve">. </w:t>
      </w:r>
    </w:p>
    <w:p w14:paraId="506ED5E5" w14:textId="7DF2428E" w:rsidR="008A2FBB" w:rsidRDefault="008A2FBB">
      <w:pPr>
        <w:rPr>
          <w:rFonts w:cs="Arial"/>
          <w:b/>
          <w:bCs/>
          <w:szCs w:val="24"/>
        </w:rPr>
      </w:pPr>
    </w:p>
    <w:p w14:paraId="2B8DDCBF" w14:textId="77777777" w:rsidR="00EB4438" w:rsidRDefault="00EB4438">
      <w:pPr>
        <w:rPr>
          <w:rFonts w:ascii="Calibri" w:eastAsiaTheme="majorEastAsia" w:hAnsi="Calibri" w:cstheme="majorBidi"/>
          <w:color w:val="243F60" w:themeColor="accent1" w:themeShade="7F"/>
          <w:szCs w:val="24"/>
        </w:rPr>
      </w:pPr>
      <w:bookmarkStart w:id="0" w:name="_Trend_data"/>
      <w:bookmarkEnd w:id="0"/>
      <w:r>
        <w:br w:type="page"/>
      </w:r>
    </w:p>
    <w:p w14:paraId="173176DB" w14:textId="23AFD512" w:rsidR="00236490" w:rsidRPr="00236490" w:rsidRDefault="00E36621" w:rsidP="002E5DE3">
      <w:pPr>
        <w:pStyle w:val="Heading3"/>
      </w:pPr>
      <w:r>
        <w:lastRenderedPageBreak/>
        <w:t>Trend d</w:t>
      </w:r>
      <w:r w:rsidR="00236490" w:rsidRPr="00236490">
        <w:t xml:space="preserve">ata </w:t>
      </w:r>
    </w:p>
    <w:p w14:paraId="669CF386" w14:textId="77777777" w:rsidR="00C839B0" w:rsidRPr="00C839B0" w:rsidRDefault="00C839B0" w:rsidP="00C839B0">
      <w:pPr>
        <w:rPr>
          <w:rFonts w:cs="Arial"/>
          <w:szCs w:val="24"/>
        </w:rPr>
      </w:pPr>
    </w:p>
    <w:p w14:paraId="08D341A0" w14:textId="0C66C533" w:rsidR="00AC5540" w:rsidRPr="002E5DE3" w:rsidRDefault="00B2093A" w:rsidP="002E5DE3">
      <w:pPr>
        <w:pStyle w:val="Heading4"/>
        <w:rPr>
          <w:i w:val="0"/>
          <w:iCs w:val="0"/>
        </w:rPr>
      </w:pPr>
      <w:r w:rsidRPr="002E5DE3">
        <w:rPr>
          <w:i w:val="0"/>
          <w:iCs w:val="0"/>
        </w:rPr>
        <w:t xml:space="preserve">Chart 1: </w:t>
      </w:r>
      <w:r w:rsidR="008A2FBB" w:rsidRPr="002E5DE3">
        <w:rPr>
          <w:i w:val="0"/>
          <w:iCs w:val="0"/>
        </w:rPr>
        <w:t xml:space="preserve">Claimant Count rate </w:t>
      </w:r>
      <w:r w:rsidRPr="002E5DE3">
        <w:rPr>
          <w:i w:val="0"/>
          <w:iCs w:val="0"/>
        </w:rPr>
        <w:t>for Buckinghamshire and England, January 2023 to present</w:t>
      </w:r>
    </w:p>
    <w:p w14:paraId="37E2F771" w14:textId="12E581EB" w:rsidR="00B2093A" w:rsidRDefault="00B2093A" w:rsidP="00B2093A">
      <w:pPr>
        <w:jc w:val="both"/>
        <w:rPr>
          <w:rFonts w:cs="Arial"/>
          <w:szCs w:val="24"/>
        </w:rPr>
      </w:pPr>
    </w:p>
    <w:p w14:paraId="0710E050" w14:textId="4FFC1D73" w:rsidR="00292C59" w:rsidRDefault="00791D23" w:rsidP="00292C59">
      <w:pPr>
        <w:rPr>
          <w:rFonts w:cs="Arial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029FF8" wp14:editId="47951D31">
                <wp:simplePos x="0" y="0"/>
                <wp:positionH relativeFrom="column">
                  <wp:posOffset>2698750</wp:posOffset>
                </wp:positionH>
                <wp:positionV relativeFrom="paragraph">
                  <wp:posOffset>55880</wp:posOffset>
                </wp:positionV>
                <wp:extent cx="2057400" cy="2311400"/>
                <wp:effectExtent l="0" t="0" r="38100" b="12700"/>
                <wp:wrapNone/>
                <wp:docPr id="184921848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311400"/>
                          <a:chOff x="0" y="0"/>
                          <a:chExt cx="2057400" cy="2311400"/>
                        </a:xfrm>
                      </wpg:grpSpPr>
                      <wps:wsp>
                        <wps:cNvPr id="669363830" name="Straight Connector 1"/>
                        <wps:cNvCnPr/>
                        <wps:spPr>
                          <a:xfrm flipH="1" flipV="1">
                            <a:off x="2032000" y="0"/>
                            <a:ext cx="25400" cy="2311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79130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98600"/>
                            <a:ext cx="1784350" cy="676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E42380" w14:textId="39D4479E" w:rsidR="009A5769" w:rsidRDefault="00240381">
                              <w:r>
                                <w:t xml:space="preserve">Policy change – increase in Administrative Earnings </w:t>
                              </w:r>
                              <w:r w:rsidR="00397184">
                                <w:t>Threshold (EAT)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5249215" name="Arrow: Right 2"/>
                        <wps:cNvSpPr/>
                        <wps:spPr>
                          <a:xfrm>
                            <a:off x="1784350" y="1714500"/>
                            <a:ext cx="254000" cy="120650"/>
                          </a:xfrm>
                          <a:prstGeom prst="right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29FF8" id="Group 3" o:spid="_x0000_s1026" style="position:absolute;margin-left:212.5pt;margin-top:4.4pt;width:162pt;height:182pt;z-index:251661312" coordsize="20574,2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">
                <v:line id="Straight Connector 1" o:spid="_x0000_s1027" style="position:absolute;flip:x y;visibility:visible;mso-wrap-style:square" from="20320,0" to="20574,23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4986;width:17843;height:6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">
                  <v:textbox>
                    <w:txbxContent>
                      <w:p w14:paraId="50E42380" w14:textId="39D4479E" w:rsidR="009A5769" w:rsidRDefault="00240381">
                        <w:r>
                          <w:t xml:space="preserve">Policy change – increase in Administrative Earnings </w:t>
                        </w:r>
                        <w:r w:rsidR="00397184">
                          <w:t>Threshold (EAT)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2" o:spid="_x0000_s1029" type="#_x0000_t13" style="position:absolute;left:17843;top:17145;width:2540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" adj="16470" fillcolor="#4f81bd [3204]" stroked="f" strokeweight="2pt"/>
              </v:group>
            </w:pict>
          </mc:Fallback>
        </mc:AlternateContent>
      </w:r>
      <w:r w:rsidR="00F43ECF">
        <w:rPr>
          <w:noProof/>
        </w:rPr>
        <w:drawing>
          <wp:inline distT="0" distB="0" distL="0" distR="0" wp14:anchorId="7427833A" wp14:editId="62C92E57">
            <wp:extent cx="5861050" cy="3619500"/>
            <wp:effectExtent l="0" t="0" r="6350" b="0"/>
            <wp:docPr id="107197213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18F54F1-4601-CF74-580F-DF9C08DF9D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E70ACC" w14:textId="7B47AF5B" w:rsidR="00292C59" w:rsidRDefault="00E36621" w:rsidP="00292C59">
      <w:pPr>
        <w:rPr>
          <w:rFonts w:cs="Arial"/>
          <w:i/>
          <w:iCs/>
          <w:szCs w:val="24"/>
        </w:rPr>
      </w:pPr>
      <w:r w:rsidRPr="00E36621">
        <w:rPr>
          <w:rFonts w:cs="Arial"/>
          <w:i/>
          <w:iCs/>
          <w:szCs w:val="24"/>
        </w:rPr>
        <w:t xml:space="preserve">Source: DWP, September 2024 (via NOMIS) </w:t>
      </w:r>
    </w:p>
    <w:p w14:paraId="7CBE965F" w14:textId="7353A821" w:rsidR="00C96D48" w:rsidRDefault="00C96D48" w:rsidP="00292C59">
      <w:pPr>
        <w:rPr>
          <w:rFonts w:cs="Arial"/>
          <w:i/>
          <w:iCs/>
          <w:szCs w:val="24"/>
        </w:rPr>
      </w:pPr>
    </w:p>
    <w:p w14:paraId="0CE9EC2A" w14:textId="02923B0C" w:rsidR="00C96D48" w:rsidRPr="002E5DE3" w:rsidRDefault="00C96D48" w:rsidP="002E5DE3">
      <w:pPr>
        <w:pStyle w:val="Heading4"/>
        <w:rPr>
          <w:i w:val="0"/>
          <w:iCs w:val="0"/>
        </w:rPr>
      </w:pPr>
      <w:r w:rsidRPr="002E5DE3">
        <w:rPr>
          <w:i w:val="0"/>
          <w:iCs w:val="0"/>
        </w:rPr>
        <w:t xml:space="preserve">Chart 2: </w:t>
      </w:r>
      <w:r w:rsidR="007B61E0" w:rsidRPr="002E5DE3">
        <w:rPr>
          <w:i w:val="0"/>
          <w:iCs w:val="0"/>
        </w:rPr>
        <w:t xml:space="preserve">Estimate </w:t>
      </w:r>
      <w:r w:rsidR="001D6D21" w:rsidRPr="002E5DE3">
        <w:rPr>
          <w:i w:val="0"/>
          <w:iCs w:val="0"/>
        </w:rPr>
        <w:t>of the number of people within the Count who are in work / not in work</w:t>
      </w:r>
      <w:r w:rsidR="002D4600" w:rsidRPr="002E5DE3">
        <w:rPr>
          <w:i w:val="0"/>
          <w:iCs w:val="0"/>
        </w:rPr>
        <w:t xml:space="preserve"> </w:t>
      </w:r>
    </w:p>
    <w:p w14:paraId="54C3FC72" w14:textId="3EEFF50E" w:rsidR="00C96D48" w:rsidRDefault="008B6D85" w:rsidP="00292C59">
      <w:pPr>
        <w:rPr>
          <w:noProof/>
        </w:rPr>
      </w:pPr>
      <w:r>
        <w:rPr>
          <w:rFonts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EE9ABF0" wp14:editId="7EA65629">
                <wp:simplePos x="0" y="0"/>
                <wp:positionH relativeFrom="column">
                  <wp:posOffset>3086100</wp:posOffset>
                </wp:positionH>
                <wp:positionV relativeFrom="paragraph">
                  <wp:posOffset>145415</wp:posOffset>
                </wp:positionV>
                <wp:extent cx="2076450" cy="2311400"/>
                <wp:effectExtent l="0" t="0" r="38100" b="12700"/>
                <wp:wrapNone/>
                <wp:docPr id="200254034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2311400"/>
                          <a:chOff x="0" y="0"/>
                          <a:chExt cx="2076450" cy="2311400"/>
                        </a:xfrm>
                      </wpg:grpSpPr>
                      <wps:wsp>
                        <wps:cNvPr id="1562169040" name="Straight Connector 1"/>
                        <wps:cNvCnPr/>
                        <wps:spPr>
                          <a:xfrm flipH="1" flipV="1">
                            <a:off x="2051050" y="0"/>
                            <a:ext cx="25400" cy="23114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925212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5050"/>
                            <a:ext cx="1784350" cy="676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5E6B50" w14:textId="77777777" w:rsidR="002A4A91" w:rsidRDefault="002A4A91" w:rsidP="002A4A91">
                              <w:r>
                                <w:t>Policy change – increase in Administrative Earnings Threshold (EAT)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6029198" name="Arrow: Right 2"/>
                        <wps:cNvSpPr/>
                        <wps:spPr>
                          <a:xfrm>
                            <a:off x="1809750" y="1320800"/>
                            <a:ext cx="254000" cy="120650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9ABF0" id="Group 4" o:spid="_x0000_s1030" style="position:absolute;margin-left:243pt;margin-top:11.45pt;width:163.5pt;height:182pt;z-index:251666432" coordsize="20764,2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">
                <v:line id="Straight Connector 1" o:spid="_x0000_s1031" style="position:absolute;flip:x y;visibility:visible;mso-wrap-style:square" from="20510,0" to="20764,23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" strokecolor="#4a7ebb"/>
                <v:shape id="Text Box 2" o:spid="_x0000_s1032" type="#_x0000_t202" style="position:absolute;top:10350;width:17843;height:6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">
                  <v:textbox>
                    <w:txbxContent>
                      <w:p w14:paraId="045E6B50" w14:textId="77777777" w:rsidR="002A4A91" w:rsidRDefault="002A4A91" w:rsidP="002A4A91">
                        <w:r>
                          <w:t>Policy change – increase in Administrative Earnings Threshold (EAT)</w:t>
                        </w:r>
                      </w:p>
                    </w:txbxContent>
                  </v:textbox>
                </v:shape>
                <v:shape id="Arrow: Right 2" o:spid="_x0000_s1033" type="#_x0000_t13" style="position:absolute;left:18097;top:13208;width:2540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" adj="16470" fillcolor="#4f81bd" stroked="f" strokeweight="2pt"/>
              </v:group>
            </w:pict>
          </mc:Fallback>
        </mc:AlternateContent>
      </w:r>
    </w:p>
    <w:p w14:paraId="2DE99671" w14:textId="6AC263F2" w:rsidR="001D6D21" w:rsidRDefault="00A13339" w:rsidP="00292C59">
      <w:pPr>
        <w:rPr>
          <w:noProof/>
        </w:rPr>
      </w:pPr>
      <w:r>
        <w:rPr>
          <w:noProof/>
        </w:rPr>
        <w:drawing>
          <wp:inline distT="0" distB="0" distL="0" distR="0" wp14:anchorId="3E813366" wp14:editId="1486430C">
            <wp:extent cx="5924550" cy="3486150"/>
            <wp:effectExtent l="0" t="0" r="0" b="0"/>
            <wp:docPr id="57928209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F3D2EF3-1AFD-CC44-0130-60D0DE0D88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128B17" w14:textId="76440A58" w:rsidR="00EB3483" w:rsidRPr="002E5DE3" w:rsidRDefault="00EB3483" w:rsidP="002E5DE3">
      <w:pPr>
        <w:pStyle w:val="Heading4"/>
        <w:rPr>
          <w:i w:val="0"/>
          <w:iCs w:val="0"/>
        </w:rPr>
      </w:pPr>
      <w:bookmarkStart w:id="1" w:name="_Chart_3:_Estimate"/>
      <w:bookmarkEnd w:id="1"/>
      <w:r w:rsidRPr="002E5DE3">
        <w:rPr>
          <w:i w:val="0"/>
          <w:iCs w:val="0"/>
        </w:rPr>
        <w:lastRenderedPageBreak/>
        <w:t xml:space="preserve">Chart 3: </w:t>
      </w:r>
      <w:r w:rsidR="001D6D21" w:rsidRPr="002E5DE3">
        <w:rPr>
          <w:i w:val="0"/>
          <w:iCs w:val="0"/>
        </w:rPr>
        <w:t>Estimate of the p</w:t>
      </w:r>
      <w:r w:rsidRPr="002E5DE3">
        <w:rPr>
          <w:i w:val="0"/>
          <w:iCs w:val="0"/>
        </w:rPr>
        <w:t xml:space="preserve">roportion of </w:t>
      </w:r>
      <w:r w:rsidR="00FE627C" w:rsidRPr="002E5DE3">
        <w:rPr>
          <w:i w:val="0"/>
          <w:iCs w:val="0"/>
        </w:rPr>
        <w:t xml:space="preserve">those </w:t>
      </w:r>
      <w:r w:rsidR="008B6D85" w:rsidRPr="002E5DE3">
        <w:rPr>
          <w:i w:val="0"/>
          <w:iCs w:val="0"/>
        </w:rPr>
        <w:t>with</w:t>
      </w:r>
      <w:r w:rsidR="00FE627C" w:rsidRPr="002E5DE3">
        <w:rPr>
          <w:i w:val="0"/>
          <w:iCs w:val="0"/>
        </w:rPr>
        <w:t xml:space="preserve">in the Claimant Count </w:t>
      </w:r>
      <w:r w:rsidRPr="002E5DE3">
        <w:rPr>
          <w:i w:val="0"/>
          <w:iCs w:val="0"/>
        </w:rPr>
        <w:t>who are i</w:t>
      </w:r>
      <w:r w:rsidR="00FE627C" w:rsidRPr="002E5DE3">
        <w:rPr>
          <w:i w:val="0"/>
          <w:iCs w:val="0"/>
        </w:rPr>
        <w:t xml:space="preserve">n work </w:t>
      </w:r>
      <w:r w:rsidR="001D6D21" w:rsidRPr="002E5DE3">
        <w:rPr>
          <w:i w:val="0"/>
          <w:iCs w:val="0"/>
        </w:rPr>
        <w:t xml:space="preserve">/ not in work </w:t>
      </w:r>
    </w:p>
    <w:p w14:paraId="5DB28214" w14:textId="77777777" w:rsidR="00082C90" w:rsidRDefault="00082C90" w:rsidP="00292C59">
      <w:pPr>
        <w:rPr>
          <w:rFonts w:cs="Arial"/>
          <w:szCs w:val="24"/>
        </w:rPr>
      </w:pPr>
    </w:p>
    <w:p w14:paraId="26248236" w14:textId="6DC77314" w:rsidR="00082C90" w:rsidRPr="00FE627C" w:rsidRDefault="00774324" w:rsidP="00292C59">
      <w:pPr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1796C426" wp14:editId="432C2986">
            <wp:extent cx="5994400" cy="3003550"/>
            <wp:effectExtent l="0" t="0" r="6350" b="6350"/>
            <wp:docPr id="157668924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A448A8E-8A7A-C832-D792-AB5FAF4AB8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082C90" w:rsidRPr="00FE627C" w:rsidSect="007E3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8230C" w14:textId="77777777" w:rsidR="00A43316" w:rsidRDefault="00A43316" w:rsidP="008B1F5A">
      <w:r>
        <w:separator/>
      </w:r>
    </w:p>
  </w:endnote>
  <w:endnote w:type="continuationSeparator" w:id="0">
    <w:p w14:paraId="216D0103" w14:textId="77777777" w:rsidR="00A43316" w:rsidRDefault="00A43316" w:rsidP="008B1F5A">
      <w:r>
        <w:continuationSeparator/>
      </w:r>
    </w:p>
  </w:endnote>
  <w:endnote w:type="continuationNotice" w:id="1">
    <w:p w14:paraId="5CB482C2" w14:textId="77777777" w:rsidR="00A43316" w:rsidRDefault="00A43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B96C8" w14:textId="77777777" w:rsidR="00A43316" w:rsidRDefault="00A43316" w:rsidP="008B1F5A">
      <w:r>
        <w:separator/>
      </w:r>
    </w:p>
  </w:footnote>
  <w:footnote w:type="continuationSeparator" w:id="0">
    <w:p w14:paraId="1BE9DC31" w14:textId="77777777" w:rsidR="00A43316" w:rsidRDefault="00A43316" w:rsidP="008B1F5A">
      <w:r>
        <w:continuationSeparator/>
      </w:r>
    </w:p>
  </w:footnote>
  <w:footnote w:type="continuationNotice" w:id="1">
    <w:p w14:paraId="236F74EC" w14:textId="77777777" w:rsidR="00A43316" w:rsidRDefault="00A43316"/>
  </w:footnote>
  <w:footnote w:id="2">
    <w:p w14:paraId="2DE04995" w14:textId="77777777" w:rsidR="00086A7D" w:rsidRDefault="00086A7D" w:rsidP="00086A7D">
      <w:pPr>
        <w:pStyle w:val="FootnoteText"/>
      </w:pPr>
      <w:r>
        <w:rPr>
          <w:rStyle w:val="FootnoteReference"/>
        </w:rPr>
        <w:footnoteRef/>
      </w:r>
      <w:r>
        <w:t xml:space="preserve"> With underemployment defined as a</w:t>
      </w:r>
      <w:r w:rsidRPr="009036E1">
        <w:t> situation where people are working fewer hours than they wish</w:t>
      </w:r>
      <w:r>
        <w:t xml:space="preserve"> / might reasonably be expected. </w:t>
      </w:r>
    </w:p>
  </w:footnote>
  <w:footnote w:id="3">
    <w:p w14:paraId="4C6FE72B" w14:textId="60E45ECA" w:rsidR="008B1F5A" w:rsidRDefault="008B1F5A">
      <w:pPr>
        <w:pStyle w:val="FootnoteText"/>
      </w:pPr>
      <w:r>
        <w:rPr>
          <w:rStyle w:val="FootnoteReference"/>
        </w:rPr>
        <w:footnoteRef/>
      </w:r>
      <w:r>
        <w:t xml:space="preserve"> The international definition of unemployment is </w:t>
      </w:r>
      <w:r w:rsidR="00283954">
        <w:t>anyone of working-age who is not working but has activ</w:t>
      </w:r>
      <w:r w:rsidR="00D22D9C">
        <w:t xml:space="preserve">ely sought work in recent weeks and is available to start work. </w:t>
      </w:r>
    </w:p>
  </w:footnote>
  <w:footnote w:id="4">
    <w:p w14:paraId="2BF869E2" w14:textId="5D0E1ADC" w:rsidR="0064114D" w:rsidRDefault="0064114D" w:rsidP="0064114D">
      <w:pPr>
        <w:pStyle w:val="FootnoteText"/>
      </w:pPr>
      <w:r>
        <w:rPr>
          <w:rStyle w:val="FootnoteReference"/>
        </w:rPr>
        <w:footnoteRef/>
      </w:r>
      <w:r>
        <w:t xml:space="preserve"> With underemployment defined as a</w:t>
      </w:r>
      <w:r w:rsidRPr="009036E1">
        <w:t> situation where people are working fewer hours than they wish</w:t>
      </w:r>
      <w:r>
        <w:t xml:space="preserve"> / might reasonably be expected</w:t>
      </w:r>
      <w:r w:rsidR="00B34B76">
        <w:t xml:space="preserve"> to work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C44AE"/>
    <w:multiLevelType w:val="hybridMultilevel"/>
    <w:tmpl w:val="2CCE4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D2A89"/>
    <w:multiLevelType w:val="hybridMultilevel"/>
    <w:tmpl w:val="D38A03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32C91"/>
    <w:multiLevelType w:val="multilevel"/>
    <w:tmpl w:val="DAA2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BD5545"/>
    <w:multiLevelType w:val="hybridMultilevel"/>
    <w:tmpl w:val="1396A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994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368450">
    <w:abstractNumId w:val="1"/>
  </w:num>
  <w:num w:numId="3" w16cid:durableId="1218012958">
    <w:abstractNumId w:val="0"/>
  </w:num>
  <w:num w:numId="4" w16cid:durableId="1741754668">
    <w:abstractNumId w:val="3"/>
  </w:num>
  <w:num w:numId="5" w16cid:durableId="74715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9"/>
    <w:rsid w:val="000036F7"/>
    <w:rsid w:val="00004611"/>
    <w:rsid w:val="0001080B"/>
    <w:rsid w:val="000146BE"/>
    <w:rsid w:val="00016604"/>
    <w:rsid w:val="00017033"/>
    <w:rsid w:val="00017A3E"/>
    <w:rsid w:val="000576DA"/>
    <w:rsid w:val="00073273"/>
    <w:rsid w:val="00082C90"/>
    <w:rsid w:val="00086A7D"/>
    <w:rsid w:val="00096B4C"/>
    <w:rsid w:val="000A11C0"/>
    <w:rsid w:val="000A47DC"/>
    <w:rsid w:val="000C00CC"/>
    <w:rsid w:val="000C14D6"/>
    <w:rsid w:val="000C4F5D"/>
    <w:rsid w:val="000C6D2B"/>
    <w:rsid w:val="000D49BD"/>
    <w:rsid w:val="00122412"/>
    <w:rsid w:val="00123772"/>
    <w:rsid w:val="00130048"/>
    <w:rsid w:val="0013778A"/>
    <w:rsid w:val="00144D66"/>
    <w:rsid w:val="00160996"/>
    <w:rsid w:val="00160E0A"/>
    <w:rsid w:val="00175D8D"/>
    <w:rsid w:val="00183628"/>
    <w:rsid w:val="00197A15"/>
    <w:rsid w:val="001A0F0E"/>
    <w:rsid w:val="001B4A1F"/>
    <w:rsid w:val="001B7449"/>
    <w:rsid w:val="001D6D21"/>
    <w:rsid w:val="001E2D0A"/>
    <w:rsid w:val="001F1D9B"/>
    <w:rsid w:val="001F7DBA"/>
    <w:rsid w:val="002037B8"/>
    <w:rsid w:val="00212BAD"/>
    <w:rsid w:val="00217762"/>
    <w:rsid w:val="002226F0"/>
    <w:rsid w:val="00236490"/>
    <w:rsid w:val="00240381"/>
    <w:rsid w:val="002453B2"/>
    <w:rsid w:val="002558ED"/>
    <w:rsid w:val="00262B8F"/>
    <w:rsid w:val="00270A0A"/>
    <w:rsid w:val="0027248F"/>
    <w:rsid w:val="00283954"/>
    <w:rsid w:val="00292C59"/>
    <w:rsid w:val="00295EE8"/>
    <w:rsid w:val="002A4A91"/>
    <w:rsid w:val="002C2858"/>
    <w:rsid w:val="002D0CF0"/>
    <w:rsid w:val="002D4584"/>
    <w:rsid w:val="002D4600"/>
    <w:rsid w:val="002D7B93"/>
    <w:rsid w:val="002E5DE3"/>
    <w:rsid w:val="002F0228"/>
    <w:rsid w:val="0030250A"/>
    <w:rsid w:val="00302904"/>
    <w:rsid w:val="0031386A"/>
    <w:rsid w:val="0032746A"/>
    <w:rsid w:val="0035079E"/>
    <w:rsid w:val="0036132F"/>
    <w:rsid w:val="00361548"/>
    <w:rsid w:val="0036702F"/>
    <w:rsid w:val="00370CC1"/>
    <w:rsid w:val="00376820"/>
    <w:rsid w:val="00383927"/>
    <w:rsid w:val="00383CB1"/>
    <w:rsid w:val="00385B4B"/>
    <w:rsid w:val="00391CFD"/>
    <w:rsid w:val="003925D8"/>
    <w:rsid w:val="003936ED"/>
    <w:rsid w:val="00397184"/>
    <w:rsid w:val="003B4724"/>
    <w:rsid w:val="003B4F5F"/>
    <w:rsid w:val="003B7E41"/>
    <w:rsid w:val="003C2EE7"/>
    <w:rsid w:val="003D06F8"/>
    <w:rsid w:val="003D07AB"/>
    <w:rsid w:val="003D410B"/>
    <w:rsid w:val="003F3B46"/>
    <w:rsid w:val="004021AB"/>
    <w:rsid w:val="00425B09"/>
    <w:rsid w:val="00430C80"/>
    <w:rsid w:val="004462E4"/>
    <w:rsid w:val="004541A8"/>
    <w:rsid w:val="0045549A"/>
    <w:rsid w:val="00470ADB"/>
    <w:rsid w:val="004838A4"/>
    <w:rsid w:val="00484047"/>
    <w:rsid w:val="00490AF2"/>
    <w:rsid w:val="004969F0"/>
    <w:rsid w:val="00497614"/>
    <w:rsid w:val="004A59BE"/>
    <w:rsid w:val="004C35E4"/>
    <w:rsid w:val="004E1DC8"/>
    <w:rsid w:val="004F1F93"/>
    <w:rsid w:val="004F376E"/>
    <w:rsid w:val="00501FA8"/>
    <w:rsid w:val="0051475A"/>
    <w:rsid w:val="00530250"/>
    <w:rsid w:val="00535150"/>
    <w:rsid w:val="005371C5"/>
    <w:rsid w:val="005422AC"/>
    <w:rsid w:val="0056287C"/>
    <w:rsid w:val="005651BE"/>
    <w:rsid w:val="00585186"/>
    <w:rsid w:val="00597F74"/>
    <w:rsid w:val="005A6016"/>
    <w:rsid w:val="005B4FF8"/>
    <w:rsid w:val="005C2FD3"/>
    <w:rsid w:val="005D43DC"/>
    <w:rsid w:val="005D6631"/>
    <w:rsid w:val="005E1D89"/>
    <w:rsid w:val="005F6486"/>
    <w:rsid w:val="00601BC7"/>
    <w:rsid w:val="006043DF"/>
    <w:rsid w:val="006260AF"/>
    <w:rsid w:val="00627CD6"/>
    <w:rsid w:val="0064114D"/>
    <w:rsid w:val="00655443"/>
    <w:rsid w:val="006750D5"/>
    <w:rsid w:val="0068658A"/>
    <w:rsid w:val="006A4B9F"/>
    <w:rsid w:val="006E2744"/>
    <w:rsid w:val="006F237C"/>
    <w:rsid w:val="007375A5"/>
    <w:rsid w:val="007423AC"/>
    <w:rsid w:val="0075508C"/>
    <w:rsid w:val="00762AE6"/>
    <w:rsid w:val="00767AA9"/>
    <w:rsid w:val="00773A57"/>
    <w:rsid w:val="00774324"/>
    <w:rsid w:val="00786DEB"/>
    <w:rsid w:val="00791D23"/>
    <w:rsid w:val="007A0127"/>
    <w:rsid w:val="007A24D7"/>
    <w:rsid w:val="007A2D87"/>
    <w:rsid w:val="007A5531"/>
    <w:rsid w:val="007A6E05"/>
    <w:rsid w:val="007B61E0"/>
    <w:rsid w:val="007C2FD8"/>
    <w:rsid w:val="007D6E63"/>
    <w:rsid w:val="007E3EF4"/>
    <w:rsid w:val="007E507A"/>
    <w:rsid w:val="007E606C"/>
    <w:rsid w:val="00806BC9"/>
    <w:rsid w:val="008071B2"/>
    <w:rsid w:val="00807C2A"/>
    <w:rsid w:val="008155E4"/>
    <w:rsid w:val="00824AEF"/>
    <w:rsid w:val="0083548B"/>
    <w:rsid w:val="00852ADD"/>
    <w:rsid w:val="00864C1F"/>
    <w:rsid w:val="00872BB0"/>
    <w:rsid w:val="008740EA"/>
    <w:rsid w:val="00875C16"/>
    <w:rsid w:val="00876E7D"/>
    <w:rsid w:val="008A2FBB"/>
    <w:rsid w:val="008B1F5A"/>
    <w:rsid w:val="008B6D85"/>
    <w:rsid w:val="008C18C7"/>
    <w:rsid w:val="008C4210"/>
    <w:rsid w:val="008E3C53"/>
    <w:rsid w:val="009014F6"/>
    <w:rsid w:val="00902E97"/>
    <w:rsid w:val="009036E1"/>
    <w:rsid w:val="00907D91"/>
    <w:rsid w:val="009150BE"/>
    <w:rsid w:val="009178F0"/>
    <w:rsid w:val="00920149"/>
    <w:rsid w:val="00925BE8"/>
    <w:rsid w:val="00930B5E"/>
    <w:rsid w:val="009415C1"/>
    <w:rsid w:val="00942448"/>
    <w:rsid w:val="00953484"/>
    <w:rsid w:val="00954311"/>
    <w:rsid w:val="00975814"/>
    <w:rsid w:val="00975869"/>
    <w:rsid w:val="00984B5F"/>
    <w:rsid w:val="009A5769"/>
    <w:rsid w:val="009B411D"/>
    <w:rsid w:val="009C2235"/>
    <w:rsid w:val="009C4308"/>
    <w:rsid w:val="009D2119"/>
    <w:rsid w:val="009F05CC"/>
    <w:rsid w:val="009F1B2A"/>
    <w:rsid w:val="009F713C"/>
    <w:rsid w:val="00A02480"/>
    <w:rsid w:val="00A02E26"/>
    <w:rsid w:val="00A13339"/>
    <w:rsid w:val="00A13A7C"/>
    <w:rsid w:val="00A356AB"/>
    <w:rsid w:val="00A43316"/>
    <w:rsid w:val="00A5549E"/>
    <w:rsid w:val="00A565D1"/>
    <w:rsid w:val="00A76137"/>
    <w:rsid w:val="00A77964"/>
    <w:rsid w:val="00A81D60"/>
    <w:rsid w:val="00A8426B"/>
    <w:rsid w:val="00A9155D"/>
    <w:rsid w:val="00AA3C13"/>
    <w:rsid w:val="00AC5540"/>
    <w:rsid w:val="00AD4A31"/>
    <w:rsid w:val="00AE0C71"/>
    <w:rsid w:val="00AF2876"/>
    <w:rsid w:val="00AF31FB"/>
    <w:rsid w:val="00B005F5"/>
    <w:rsid w:val="00B11ABE"/>
    <w:rsid w:val="00B13AC2"/>
    <w:rsid w:val="00B2093A"/>
    <w:rsid w:val="00B33542"/>
    <w:rsid w:val="00B34B76"/>
    <w:rsid w:val="00B443A5"/>
    <w:rsid w:val="00B524A2"/>
    <w:rsid w:val="00B53196"/>
    <w:rsid w:val="00B8352C"/>
    <w:rsid w:val="00B9403E"/>
    <w:rsid w:val="00BA5ECC"/>
    <w:rsid w:val="00BB2BB3"/>
    <w:rsid w:val="00BD247D"/>
    <w:rsid w:val="00BD3421"/>
    <w:rsid w:val="00BD384E"/>
    <w:rsid w:val="00BF27EA"/>
    <w:rsid w:val="00C23F9B"/>
    <w:rsid w:val="00C26A00"/>
    <w:rsid w:val="00C27B12"/>
    <w:rsid w:val="00C349B5"/>
    <w:rsid w:val="00C42E85"/>
    <w:rsid w:val="00C551C6"/>
    <w:rsid w:val="00C62953"/>
    <w:rsid w:val="00C71918"/>
    <w:rsid w:val="00C75CEA"/>
    <w:rsid w:val="00C839B0"/>
    <w:rsid w:val="00C96D48"/>
    <w:rsid w:val="00CA23E2"/>
    <w:rsid w:val="00CB4E25"/>
    <w:rsid w:val="00CB6504"/>
    <w:rsid w:val="00CC2D81"/>
    <w:rsid w:val="00CD777D"/>
    <w:rsid w:val="00CE71D9"/>
    <w:rsid w:val="00CF248B"/>
    <w:rsid w:val="00D138A7"/>
    <w:rsid w:val="00D16FD3"/>
    <w:rsid w:val="00D22D9C"/>
    <w:rsid w:val="00D26330"/>
    <w:rsid w:val="00D26C7F"/>
    <w:rsid w:val="00D47212"/>
    <w:rsid w:val="00D81C33"/>
    <w:rsid w:val="00D92F0F"/>
    <w:rsid w:val="00D942CC"/>
    <w:rsid w:val="00DA34CE"/>
    <w:rsid w:val="00DD4B93"/>
    <w:rsid w:val="00DE6DB2"/>
    <w:rsid w:val="00DF1F8B"/>
    <w:rsid w:val="00E22ED4"/>
    <w:rsid w:val="00E2342D"/>
    <w:rsid w:val="00E32BE6"/>
    <w:rsid w:val="00E36621"/>
    <w:rsid w:val="00E46870"/>
    <w:rsid w:val="00E80011"/>
    <w:rsid w:val="00E84F2A"/>
    <w:rsid w:val="00E8642A"/>
    <w:rsid w:val="00E86FDA"/>
    <w:rsid w:val="00EA0DE5"/>
    <w:rsid w:val="00EA386E"/>
    <w:rsid w:val="00EA6435"/>
    <w:rsid w:val="00EB3483"/>
    <w:rsid w:val="00EB4438"/>
    <w:rsid w:val="00ED0CC9"/>
    <w:rsid w:val="00EE153E"/>
    <w:rsid w:val="00EF075F"/>
    <w:rsid w:val="00EF1410"/>
    <w:rsid w:val="00F10BFA"/>
    <w:rsid w:val="00F15E0F"/>
    <w:rsid w:val="00F2131E"/>
    <w:rsid w:val="00F2341E"/>
    <w:rsid w:val="00F4382C"/>
    <w:rsid w:val="00F43ECF"/>
    <w:rsid w:val="00F50388"/>
    <w:rsid w:val="00F65444"/>
    <w:rsid w:val="00F6708B"/>
    <w:rsid w:val="00F672F7"/>
    <w:rsid w:val="00F872F2"/>
    <w:rsid w:val="00FB7F88"/>
    <w:rsid w:val="00FC427B"/>
    <w:rsid w:val="00FD0AD9"/>
    <w:rsid w:val="00FE0549"/>
    <w:rsid w:val="00FE5E2A"/>
    <w:rsid w:val="00FE627C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5B4B1"/>
  <w15:chartTrackingRefBased/>
  <w15:docId w15:val="{102F520C-D4A2-4B40-875A-BED3B35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54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C5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C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C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C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C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C59"/>
    <w:rPr>
      <w:rFonts w:eastAsiaTheme="majorEastAsia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C5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C59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C5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C59"/>
    <w:rPr>
      <w:rFonts w:eastAsiaTheme="majorEastAsia" w:cstheme="majorBidi"/>
      <w:color w:val="272727" w:themeColor="text1" w:themeTint="D8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92C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C59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292C5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C5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C59"/>
    <w:rPr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292C5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C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C5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1F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1F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F5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6D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EF14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410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14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4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roline.hargrave\Downloads\nomis_2024_09_10_1251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buckscc.sharepoint.com/sites/btvlep/RPrivate/01%20Research%20and%20Intelligence/2.%20People/UC%20and%20JSA%202016%20to%202024%20-%20%25%20in%20wor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293317750232456E-2"/>
          <c:y val="5.2991297140489016E-2"/>
          <c:w val="0.9145376681652605"/>
          <c:h val="0.59499184970299768"/>
        </c:manualLayout>
      </c:layout>
      <c:lineChart>
        <c:grouping val="standard"/>
        <c:varyColors val="0"/>
        <c:ser>
          <c:idx val="0"/>
          <c:order val="0"/>
          <c:tx>
            <c:strRef>
              <c:f>Data!$B$44</c:f>
              <c:strCache>
                <c:ptCount val="1"/>
                <c:pt idx="0">
                  <c:v>Buckinghamshire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Data!$A$45:$A$64</c:f>
              <c:strCache>
                <c:ptCount val="20"/>
                <c:pt idx="0">
                  <c:v>January 2023</c:v>
                </c:pt>
                <c:pt idx="1">
                  <c:v>February 2023</c:v>
                </c:pt>
                <c:pt idx="2">
                  <c:v>March 2023</c:v>
                </c:pt>
                <c:pt idx="3">
                  <c:v>April 2023</c:v>
                </c:pt>
                <c:pt idx="4">
                  <c:v>May 2023</c:v>
                </c:pt>
                <c:pt idx="5">
                  <c:v>June 2023</c:v>
                </c:pt>
                <c:pt idx="6">
                  <c:v>July 2023</c:v>
                </c:pt>
                <c:pt idx="7">
                  <c:v>August 2023</c:v>
                </c:pt>
                <c:pt idx="8">
                  <c:v>September 2023</c:v>
                </c:pt>
                <c:pt idx="9">
                  <c:v>October 2023</c:v>
                </c:pt>
                <c:pt idx="10">
                  <c:v>November 2023</c:v>
                </c:pt>
                <c:pt idx="11">
                  <c:v>December 2023</c:v>
                </c:pt>
                <c:pt idx="12">
                  <c:v>January 2024</c:v>
                </c:pt>
                <c:pt idx="13">
                  <c:v>February 2024</c:v>
                </c:pt>
                <c:pt idx="14">
                  <c:v>March 2024</c:v>
                </c:pt>
                <c:pt idx="15">
                  <c:v>April 2024</c:v>
                </c:pt>
                <c:pt idx="16">
                  <c:v>May 2024</c:v>
                </c:pt>
                <c:pt idx="17">
                  <c:v>June 2024</c:v>
                </c:pt>
                <c:pt idx="18">
                  <c:v>July 2024</c:v>
                </c:pt>
                <c:pt idx="19">
                  <c:v>August 2024</c:v>
                </c:pt>
              </c:strCache>
            </c:strRef>
          </c:cat>
          <c:val>
            <c:numRef>
              <c:f>Data!$B$45:$B$64</c:f>
              <c:numCache>
                <c:formatCode>#,##0.0</c:formatCode>
                <c:ptCount val="20"/>
                <c:pt idx="0">
                  <c:v>2.6</c:v>
                </c:pt>
                <c:pt idx="1">
                  <c:v>2.5</c:v>
                </c:pt>
                <c:pt idx="2">
                  <c:v>2.5</c:v>
                </c:pt>
                <c:pt idx="3">
                  <c:v>2.6</c:v>
                </c:pt>
                <c:pt idx="4">
                  <c:v>2.5</c:v>
                </c:pt>
                <c:pt idx="5">
                  <c:v>2.6</c:v>
                </c:pt>
                <c:pt idx="6">
                  <c:v>2.6</c:v>
                </c:pt>
                <c:pt idx="7">
                  <c:v>2.6</c:v>
                </c:pt>
                <c:pt idx="8">
                  <c:v>2.6</c:v>
                </c:pt>
                <c:pt idx="9">
                  <c:v>2.6</c:v>
                </c:pt>
                <c:pt idx="10">
                  <c:v>2.6</c:v>
                </c:pt>
                <c:pt idx="11">
                  <c:v>2.6</c:v>
                </c:pt>
                <c:pt idx="12">
                  <c:v>2.6</c:v>
                </c:pt>
                <c:pt idx="13">
                  <c:v>2.7</c:v>
                </c:pt>
                <c:pt idx="14">
                  <c:v>2.7</c:v>
                </c:pt>
                <c:pt idx="15">
                  <c:v>2.7</c:v>
                </c:pt>
                <c:pt idx="16">
                  <c:v>2.8</c:v>
                </c:pt>
                <c:pt idx="17">
                  <c:v>2.9</c:v>
                </c:pt>
                <c:pt idx="18">
                  <c:v>3</c:v>
                </c:pt>
                <c:pt idx="19">
                  <c:v>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AA-4AAB-A85F-97B7C8BF2EBF}"/>
            </c:ext>
          </c:extLst>
        </c:ser>
        <c:ser>
          <c:idx val="1"/>
          <c:order val="1"/>
          <c:tx>
            <c:strRef>
              <c:f>Data!$C$44</c:f>
              <c:strCache>
                <c:ptCount val="1"/>
                <c:pt idx="0">
                  <c:v>England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strRef>
              <c:f>Data!$A$45:$A$64</c:f>
              <c:strCache>
                <c:ptCount val="20"/>
                <c:pt idx="0">
                  <c:v>January 2023</c:v>
                </c:pt>
                <c:pt idx="1">
                  <c:v>February 2023</c:v>
                </c:pt>
                <c:pt idx="2">
                  <c:v>March 2023</c:v>
                </c:pt>
                <c:pt idx="3">
                  <c:v>April 2023</c:v>
                </c:pt>
                <c:pt idx="4">
                  <c:v>May 2023</c:v>
                </c:pt>
                <c:pt idx="5">
                  <c:v>June 2023</c:v>
                </c:pt>
                <c:pt idx="6">
                  <c:v>July 2023</c:v>
                </c:pt>
                <c:pt idx="7">
                  <c:v>August 2023</c:v>
                </c:pt>
                <c:pt idx="8">
                  <c:v>September 2023</c:v>
                </c:pt>
                <c:pt idx="9">
                  <c:v>October 2023</c:v>
                </c:pt>
                <c:pt idx="10">
                  <c:v>November 2023</c:v>
                </c:pt>
                <c:pt idx="11">
                  <c:v>December 2023</c:v>
                </c:pt>
                <c:pt idx="12">
                  <c:v>January 2024</c:v>
                </c:pt>
                <c:pt idx="13">
                  <c:v>February 2024</c:v>
                </c:pt>
                <c:pt idx="14">
                  <c:v>March 2024</c:v>
                </c:pt>
                <c:pt idx="15">
                  <c:v>April 2024</c:v>
                </c:pt>
                <c:pt idx="16">
                  <c:v>May 2024</c:v>
                </c:pt>
                <c:pt idx="17">
                  <c:v>June 2024</c:v>
                </c:pt>
                <c:pt idx="18">
                  <c:v>July 2024</c:v>
                </c:pt>
                <c:pt idx="19">
                  <c:v>August 2024</c:v>
                </c:pt>
              </c:strCache>
            </c:strRef>
          </c:cat>
          <c:val>
            <c:numRef>
              <c:f>Data!$C$45:$C$64</c:f>
              <c:numCache>
                <c:formatCode>#,##0.0</c:formatCode>
                <c:ptCount val="20"/>
                <c:pt idx="0">
                  <c:v>3.6</c:v>
                </c:pt>
                <c:pt idx="1">
                  <c:v>3.7</c:v>
                </c:pt>
                <c:pt idx="2">
                  <c:v>3.8</c:v>
                </c:pt>
                <c:pt idx="3">
                  <c:v>3.8</c:v>
                </c:pt>
                <c:pt idx="4">
                  <c:v>3.7</c:v>
                </c:pt>
                <c:pt idx="5">
                  <c:v>3.7</c:v>
                </c:pt>
                <c:pt idx="6">
                  <c:v>3.8</c:v>
                </c:pt>
                <c:pt idx="7">
                  <c:v>3.7</c:v>
                </c:pt>
                <c:pt idx="8">
                  <c:v>3.7</c:v>
                </c:pt>
                <c:pt idx="9">
                  <c:v>3.7</c:v>
                </c:pt>
                <c:pt idx="10">
                  <c:v>3.7</c:v>
                </c:pt>
                <c:pt idx="11">
                  <c:v>3.8</c:v>
                </c:pt>
                <c:pt idx="12">
                  <c:v>3.8</c:v>
                </c:pt>
                <c:pt idx="13">
                  <c:v>3.9</c:v>
                </c:pt>
                <c:pt idx="14">
                  <c:v>3.9</c:v>
                </c:pt>
                <c:pt idx="15">
                  <c:v>3.9</c:v>
                </c:pt>
                <c:pt idx="16">
                  <c:v>3.9</c:v>
                </c:pt>
                <c:pt idx="17">
                  <c:v>4</c:v>
                </c:pt>
                <c:pt idx="18">
                  <c:v>4.4000000000000004</c:v>
                </c:pt>
                <c:pt idx="19">
                  <c:v>4.4000000000000004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AA-4AAB-A85F-97B7C8BF2E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7279199"/>
        <c:axId val="667279679"/>
      </c:lineChart>
      <c:catAx>
        <c:axId val="667279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7279679"/>
        <c:crosses val="autoZero"/>
        <c:auto val="1"/>
        <c:lblAlgn val="ctr"/>
        <c:lblOffset val="100"/>
        <c:noMultiLvlLbl val="0"/>
      </c:catAx>
      <c:valAx>
        <c:axId val="667279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72791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748495666337525E-2"/>
          <c:y val="4.0072859744990891E-2"/>
          <c:w val="0.90067701344405904"/>
          <c:h val="0.61113491961045852"/>
        </c:manualLayout>
      </c:layout>
      <c:lineChart>
        <c:grouping val="standard"/>
        <c:varyColors val="0"/>
        <c:ser>
          <c:idx val="0"/>
          <c:order val="0"/>
          <c:tx>
            <c:strRef>
              <c:f>'[UC and JSA 2016 to 2024 - % in work.xlsx]Sheet1'!$B$1</c:f>
              <c:strCache>
                <c:ptCount val="1"/>
                <c:pt idx="0">
                  <c:v>Not in work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'[UC and JSA 2016 to 2024 - % in work.xlsx]Sheet1'!$A$14:$A$32</c:f>
              <c:strCache>
                <c:ptCount val="19"/>
                <c:pt idx="0">
                  <c:v>January 2023</c:v>
                </c:pt>
                <c:pt idx="1">
                  <c:v>February 2023</c:v>
                </c:pt>
                <c:pt idx="2">
                  <c:v>March 2023</c:v>
                </c:pt>
                <c:pt idx="3">
                  <c:v>April 2023</c:v>
                </c:pt>
                <c:pt idx="4">
                  <c:v>May 2023</c:v>
                </c:pt>
                <c:pt idx="5">
                  <c:v>June 2023</c:v>
                </c:pt>
                <c:pt idx="6">
                  <c:v>July 2023</c:v>
                </c:pt>
                <c:pt idx="7">
                  <c:v>August 2023</c:v>
                </c:pt>
                <c:pt idx="8">
                  <c:v>September 2023</c:v>
                </c:pt>
                <c:pt idx="9">
                  <c:v>October 2023</c:v>
                </c:pt>
                <c:pt idx="10">
                  <c:v>November 2023</c:v>
                </c:pt>
                <c:pt idx="11">
                  <c:v>December 2023</c:v>
                </c:pt>
                <c:pt idx="12">
                  <c:v>January 2024</c:v>
                </c:pt>
                <c:pt idx="13">
                  <c:v>February 2024</c:v>
                </c:pt>
                <c:pt idx="14">
                  <c:v>March 2024</c:v>
                </c:pt>
                <c:pt idx="15">
                  <c:v>April 2024</c:v>
                </c:pt>
                <c:pt idx="16">
                  <c:v>May 2024</c:v>
                </c:pt>
                <c:pt idx="17">
                  <c:v>June 2024</c:v>
                </c:pt>
                <c:pt idx="18">
                  <c:v>July 2024</c:v>
                </c:pt>
              </c:strCache>
            </c:strRef>
          </c:cat>
          <c:val>
            <c:numRef>
              <c:f>'[UC and JSA 2016 to 2024 - % in work.xlsx]Sheet1'!$B$14:$B$32</c:f>
              <c:numCache>
                <c:formatCode>#,##0</c:formatCode>
                <c:ptCount val="19"/>
                <c:pt idx="0">
                  <c:v>7584</c:v>
                </c:pt>
                <c:pt idx="1">
                  <c:v>7476</c:v>
                </c:pt>
                <c:pt idx="2">
                  <c:v>7302</c:v>
                </c:pt>
                <c:pt idx="3">
                  <c:v>7144</c:v>
                </c:pt>
                <c:pt idx="4">
                  <c:v>7152</c:v>
                </c:pt>
                <c:pt idx="5">
                  <c:v>7242</c:v>
                </c:pt>
                <c:pt idx="6">
                  <c:v>7194</c:v>
                </c:pt>
                <c:pt idx="7">
                  <c:v>7238</c:v>
                </c:pt>
                <c:pt idx="8">
                  <c:v>7284</c:v>
                </c:pt>
                <c:pt idx="9">
                  <c:v>7135</c:v>
                </c:pt>
                <c:pt idx="10">
                  <c:v>7225</c:v>
                </c:pt>
                <c:pt idx="11">
                  <c:v>7407</c:v>
                </c:pt>
                <c:pt idx="12">
                  <c:v>7528</c:v>
                </c:pt>
                <c:pt idx="13">
                  <c:v>7670</c:v>
                </c:pt>
                <c:pt idx="14">
                  <c:v>7711</c:v>
                </c:pt>
                <c:pt idx="15">
                  <c:v>7872</c:v>
                </c:pt>
                <c:pt idx="16">
                  <c:v>7998</c:v>
                </c:pt>
                <c:pt idx="17">
                  <c:v>8076</c:v>
                </c:pt>
                <c:pt idx="18">
                  <c:v>8156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0E-41EB-9867-66EFC6ABA4C0}"/>
            </c:ext>
          </c:extLst>
        </c:ser>
        <c:ser>
          <c:idx val="1"/>
          <c:order val="1"/>
          <c:tx>
            <c:strRef>
              <c:f>'[UC and JSA 2016 to 2024 - % in work.xlsx]Sheet1'!$C$1</c:f>
              <c:strCache>
                <c:ptCount val="1"/>
                <c:pt idx="0">
                  <c:v>In work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strRef>
              <c:f>'[UC and JSA 2016 to 2024 - % in work.xlsx]Sheet1'!$A$14:$A$32</c:f>
              <c:strCache>
                <c:ptCount val="19"/>
                <c:pt idx="0">
                  <c:v>January 2023</c:v>
                </c:pt>
                <c:pt idx="1">
                  <c:v>February 2023</c:v>
                </c:pt>
                <c:pt idx="2">
                  <c:v>March 2023</c:v>
                </c:pt>
                <c:pt idx="3">
                  <c:v>April 2023</c:v>
                </c:pt>
                <c:pt idx="4">
                  <c:v>May 2023</c:v>
                </c:pt>
                <c:pt idx="5">
                  <c:v>June 2023</c:v>
                </c:pt>
                <c:pt idx="6">
                  <c:v>July 2023</c:v>
                </c:pt>
                <c:pt idx="7">
                  <c:v>August 2023</c:v>
                </c:pt>
                <c:pt idx="8">
                  <c:v>September 2023</c:v>
                </c:pt>
                <c:pt idx="9">
                  <c:v>October 2023</c:v>
                </c:pt>
                <c:pt idx="10">
                  <c:v>November 2023</c:v>
                </c:pt>
                <c:pt idx="11">
                  <c:v>December 2023</c:v>
                </c:pt>
                <c:pt idx="12">
                  <c:v>January 2024</c:v>
                </c:pt>
                <c:pt idx="13">
                  <c:v>February 2024</c:v>
                </c:pt>
                <c:pt idx="14">
                  <c:v>March 2024</c:v>
                </c:pt>
                <c:pt idx="15">
                  <c:v>April 2024</c:v>
                </c:pt>
                <c:pt idx="16">
                  <c:v>May 2024</c:v>
                </c:pt>
                <c:pt idx="17">
                  <c:v>June 2024</c:v>
                </c:pt>
                <c:pt idx="18">
                  <c:v>July 2024</c:v>
                </c:pt>
              </c:strCache>
            </c:strRef>
          </c:cat>
          <c:val>
            <c:numRef>
              <c:f>'[UC and JSA 2016 to 2024 - % in work.xlsx]Sheet1'!$C$14:$C$32</c:f>
              <c:numCache>
                <c:formatCode>General</c:formatCode>
                <c:ptCount val="19"/>
                <c:pt idx="0">
                  <c:v>1121</c:v>
                </c:pt>
                <c:pt idx="1">
                  <c:v>1188</c:v>
                </c:pt>
                <c:pt idx="2">
                  <c:v>1368</c:v>
                </c:pt>
                <c:pt idx="3">
                  <c:v>1578</c:v>
                </c:pt>
                <c:pt idx="4">
                  <c:v>1456</c:v>
                </c:pt>
                <c:pt idx="5">
                  <c:v>1495</c:v>
                </c:pt>
                <c:pt idx="6">
                  <c:v>1571</c:v>
                </c:pt>
                <c:pt idx="7">
                  <c:v>1517</c:v>
                </c:pt>
                <c:pt idx="8">
                  <c:v>1460</c:v>
                </c:pt>
                <c:pt idx="9">
                  <c:v>1650</c:v>
                </c:pt>
                <c:pt idx="10">
                  <c:v>1536</c:v>
                </c:pt>
                <c:pt idx="11">
                  <c:v>1480</c:v>
                </c:pt>
                <c:pt idx="12">
                  <c:v>1304</c:v>
                </c:pt>
                <c:pt idx="13">
                  <c:v>1488</c:v>
                </c:pt>
                <c:pt idx="14">
                  <c:v>1443</c:v>
                </c:pt>
                <c:pt idx="15">
                  <c:v>1431</c:v>
                </c:pt>
                <c:pt idx="16">
                  <c:v>1529</c:v>
                </c:pt>
                <c:pt idx="17">
                  <c:v>1694</c:v>
                </c:pt>
                <c:pt idx="18">
                  <c:v>2196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0E-41EB-9867-66EFC6ABA4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8956511"/>
        <c:axId val="608956991"/>
      </c:lineChart>
      <c:catAx>
        <c:axId val="608956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956991"/>
        <c:crosses val="autoZero"/>
        <c:auto val="1"/>
        <c:lblAlgn val="ctr"/>
        <c:lblOffset val="100"/>
        <c:noMultiLvlLbl val="0"/>
      </c:catAx>
      <c:valAx>
        <c:axId val="608956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956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'[UC and JSA 2016 to 2024 - % in work.xlsx]Sheet1'!$G$1</c:f>
              <c:strCache>
                <c:ptCount val="1"/>
                <c:pt idx="0">
                  <c:v>Not in work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3898305084745763E-2"/>
                  <c:y val="-0.14376321353065538"/>
                </c:manualLayout>
              </c:layout>
              <c:spPr>
                <a:solidFill>
                  <a:sysClr val="windowText" lastClr="00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CA-44D7-A052-E558611CD41E}"/>
                </c:ext>
              </c:extLst>
            </c:dLbl>
            <c:dLbl>
              <c:idx val="30"/>
              <c:layout>
                <c:manualLayout>
                  <c:x val="1.3468070198852261E-2"/>
                  <c:y val="-0.12289923590418013"/>
                </c:manualLayout>
              </c:layout>
              <c:spPr>
                <a:solidFill>
                  <a:sysClr val="windowText" lastClr="00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CA-44D7-A052-E558611CD4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'[UC and JSA 2016 to 2024 - % in work.xlsx]Sheet1'!$F$2:$F$32</c:f>
              <c:strCache>
                <c:ptCount val="31"/>
                <c:pt idx="0">
                  <c:v>January 2022</c:v>
                </c:pt>
                <c:pt idx="1">
                  <c:v>February 2022</c:v>
                </c:pt>
                <c:pt idx="2">
                  <c:v>March 2022</c:v>
                </c:pt>
                <c:pt idx="3">
                  <c:v>April 2022</c:v>
                </c:pt>
                <c:pt idx="4">
                  <c:v>May 2022</c:v>
                </c:pt>
                <c:pt idx="5">
                  <c:v>June 2022</c:v>
                </c:pt>
                <c:pt idx="6">
                  <c:v>July 2022</c:v>
                </c:pt>
                <c:pt idx="7">
                  <c:v>August 2022</c:v>
                </c:pt>
                <c:pt idx="8">
                  <c:v>September 2022</c:v>
                </c:pt>
                <c:pt idx="9">
                  <c:v>October 2022</c:v>
                </c:pt>
                <c:pt idx="10">
                  <c:v>November 2022</c:v>
                </c:pt>
                <c:pt idx="11">
                  <c:v>December 2022</c:v>
                </c:pt>
                <c:pt idx="12">
                  <c:v>January 2023</c:v>
                </c:pt>
                <c:pt idx="13">
                  <c:v>February 2023</c:v>
                </c:pt>
                <c:pt idx="14">
                  <c:v>March 2023</c:v>
                </c:pt>
                <c:pt idx="15">
                  <c:v>April 2023</c:v>
                </c:pt>
                <c:pt idx="16">
                  <c:v>May 2023</c:v>
                </c:pt>
                <c:pt idx="17">
                  <c:v>June 2023</c:v>
                </c:pt>
                <c:pt idx="18">
                  <c:v>July 2023</c:v>
                </c:pt>
                <c:pt idx="19">
                  <c:v>August 2023</c:v>
                </c:pt>
                <c:pt idx="20">
                  <c:v>September 2023</c:v>
                </c:pt>
                <c:pt idx="21">
                  <c:v>October 2023</c:v>
                </c:pt>
                <c:pt idx="22">
                  <c:v>November 2023</c:v>
                </c:pt>
                <c:pt idx="23">
                  <c:v>December 2023</c:v>
                </c:pt>
                <c:pt idx="24">
                  <c:v>January 2024</c:v>
                </c:pt>
                <c:pt idx="25">
                  <c:v>February 2024</c:v>
                </c:pt>
                <c:pt idx="26">
                  <c:v>March 2024</c:v>
                </c:pt>
                <c:pt idx="27">
                  <c:v>April 2024</c:v>
                </c:pt>
                <c:pt idx="28">
                  <c:v>May 2024</c:v>
                </c:pt>
                <c:pt idx="29">
                  <c:v>June 2024</c:v>
                </c:pt>
                <c:pt idx="30">
                  <c:v>July 2024</c:v>
                </c:pt>
              </c:strCache>
            </c:strRef>
          </c:cat>
          <c:val>
            <c:numRef>
              <c:f>'[UC and JSA 2016 to 2024 - % in work.xlsx]Sheet1'!$G$2:$G$32</c:f>
              <c:numCache>
                <c:formatCode>0%</c:formatCode>
                <c:ptCount val="31"/>
                <c:pt idx="0">
                  <c:v>0.10698425514735567</c:v>
                </c:pt>
                <c:pt idx="1">
                  <c:v>0.1182255916402008</c:v>
                </c:pt>
                <c:pt idx="2">
                  <c:v>0.12513177313936327</c:v>
                </c:pt>
                <c:pt idx="3">
                  <c:v>0.11979395002192021</c:v>
                </c:pt>
                <c:pt idx="4">
                  <c:v>0.11558470934177788</c:v>
                </c:pt>
                <c:pt idx="5">
                  <c:v>0.11342090234151914</c:v>
                </c:pt>
                <c:pt idx="6">
                  <c:v>0.10639032815198618</c:v>
                </c:pt>
                <c:pt idx="7">
                  <c:v>0.10979092882440306</c:v>
                </c:pt>
                <c:pt idx="8">
                  <c:v>0.12042596578679053</c:v>
                </c:pt>
                <c:pt idx="9">
                  <c:v>0.1050937104748764</c:v>
                </c:pt>
                <c:pt idx="10">
                  <c:v>0.13508249312557286</c:v>
                </c:pt>
                <c:pt idx="11">
                  <c:v>0.13658256880733946</c:v>
                </c:pt>
                <c:pt idx="12">
                  <c:v>0.12877656519241815</c:v>
                </c:pt>
                <c:pt idx="13">
                  <c:v>0.1371191135734072</c:v>
                </c:pt>
                <c:pt idx="14">
                  <c:v>0.15778546712802768</c:v>
                </c:pt>
                <c:pt idx="15">
                  <c:v>0.18092180692501719</c:v>
                </c:pt>
                <c:pt idx="16">
                  <c:v>0.16914498141263939</c:v>
                </c:pt>
                <c:pt idx="17">
                  <c:v>0.17111136545725078</c:v>
                </c:pt>
                <c:pt idx="18">
                  <c:v>0.17923559612093554</c:v>
                </c:pt>
                <c:pt idx="19">
                  <c:v>0.17327241576242147</c:v>
                </c:pt>
                <c:pt idx="20">
                  <c:v>0.16697163769441903</c:v>
                </c:pt>
                <c:pt idx="21">
                  <c:v>0.18782014797951052</c:v>
                </c:pt>
                <c:pt idx="22">
                  <c:v>0.17532245177491154</c:v>
                </c:pt>
                <c:pt idx="23">
                  <c:v>0.16653538877011365</c:v>
                </c:pt>
                <c:pt idx="24">
                  <c:v>0.14764492753623187</c:v>
                </c:pt>
                <c:pt idx="25">
                  <c:v>0.1624808910242411</c:v>
                </c:pt>
                <c:pt idx="26">
                  <c:v>0.15763600611754425</c:v>
                </c:pt>
                <c:pt idx="27">
                  <c:v>0.15382134795227345</c:v>
                </c:pt>
                <c:pt idx="28">
                  <c:v>0.16049123543612889</c:v>
                </c:pt>
                <c:pt idx="29">
                  <c:v>0.17338792221084953</c:v>
                </c:pt>
                <c:pt idx="30">
                  <c:v>0.21213292117465224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CA-44D7-A052-E558611CD41E}"/>
            </c:ext>
          </c:extLst>
        </c:ser>
        <c:ser>
          <c:idx val="1"/>
          <c:order val="1"/>
          <c:tx>
            <c:strRef>
              <c:f>'[UC and JSA 2016 to 2024 - % in work.xlsx]Sheet1'!$H$1</c:f>
              <c:strCache>
                <c:ptCount val="1"/>
                <c:pt idx="0">
                  <c:v>In work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'[UC and JSA 2016 to 2024 - % in work.xlsx]Sheet1'!$F$2:$F$32</c:f>
              <c:strCache>
                <c:ptCount val="31"/>
                <c:pt idx="0">
                  <c:v>January 2022</c:v>
                </c:pt>
                <c:pt idx="1">
                  <c:v>February 2022</c:v>
                </c:pt>
                <c:pt idx="2">
                  <c:v>March 2022</c:v>
                </c:pt>
                <c:pt idx="3">
                  <c:v>April 2022</c:v>
                </c:pt>
                <c:pt idx="4">
                  <c:v>May 2022</c:v>
                </c:pt>
                <c:pt idx="5">
                  <c:v>June 2022</c:v>
                </c:pt>
                <c:pt idx="6">
                  <c:v>July 2022</c:v>
                </c:pt>
                <c:pt idx="7">
                  <c:v>August 2022</c:v>
                </c:pt>
                <c:pt idx="8">
                  <c:v>September 2022</c:v>
                </c:pt>
                <c:pt idx="9">
                  <c:v>October 2022</c:v>
                </c:pt>
                <c:pt idx="10">
                  <c:v>November 2022</c:v>
                </c:pt>
                <c:pt idx="11">
                  <c:v>December 2022</c:v>
                </c:pt>
                <c:pt idx="12">
                  <c:v>January 2023</c:v>
                </c:pt>
                <c:pt idx="13">
                  <c:v>February 2023</c:v>
                </c:pt>
                <c:pt idx="14">
                  <c:v>March 2023</c:v>
                </c:pt>
                <c:pt idx="15">
                  <c:v>April 2023</c:v>
                </c:pt>
                <c:pt idx="16">
                  <c:v>May 2023</c:v>
                </c:pt>
                <c:pt idx="17">
                  <c:v>June 2023</c:v>
                </c:pt>
                <c:pt idx="18">
                  <c:v>July 2023</c:v>
                </c:pt>
                <c:pt idx="19">
                  <c:v>August 2023</c:v>
                </c:pt>
                <c:pt idx="20">
                  <c:v>September 2023</c:v>
                </c:pt>
                <c:pt idx="21">
                  <c:v>October 2023</c:v>
                </c:pt>
                <c:pt idx="22">
                  <c:v>November 2023</c:v>
                </c:pt>
                <c:pt idx="23">
                  <c:v>December 2023</c:v>
                </c:pt>
                <c:pt idx="24">
                  <c:v>January 2024</c:v>
                </c:pt>
                <c:pt idx="25">
                  <c:v>February 2024</c:v>
                </c:pt>
                <c:pt idx="26">
                  <c:v>March 2024</c:v>
                </c:pt>
                <c:pt idx="27">
                  <c:v>April 2024</c:v>
                </c:pt>
                <c:pt idx="28">
                  <c:v>May 2024</c:v>
                </c:pt>
                <c:pt idx="29">
                  <c:v>June 2024</c:v>
                </c:pt>
                <c:pt idx="30">
                  <c:v>July 2024</c:v>
                </c:pt>
              </c:strCache>
            </c:strRef>
          </c:cat>
          <c:val>
            <c:numRef>
              <c:f>'[UC and JSA 2016 to 2024 - % in work.xlsx]Sheet1'!$H$2:$H$32</c:f>
              <c:numCache>
                <c:formatCode>0%</c:formatCode>
                <c:ptCount val="31"/>
                <c:pt idx="0">
                  <c:v>0.89301574485264434</c:v>
                </c:pt>
                <c:pt idx="1">
                  <c:v>0.88177440835979926</c:v>
                </c:pt>
                <c:pt idx="2">
                  <c:v>0.8748682268606367</c:v>
                </c:pt>
                <c:pt idx="3">
                  <c:v>0.88020604997807983</c:v>
                </c:pt>
                <c:pt idx="4">
                  <c:v>0.88441529065822211</c:v>
                </c:pt>
                <c:pt idx="5">
                  <c:v>0.88657909765848086</c:v>
                </c:pt>
                <c:pt idx="6">
                  <c:v>0.89360967184801376</c:v>
                </c:pt>
                <c:pt idx="7">
                  <c:v>0.89020907117559689</c:v>
                </c:pt>
                <c:pt idx="8">
                  <c:v>0.87957403421320945</c:v>
                </c:pt>
                <c:pt idx="9">
                  <c:v>0.89490628952512363</c:v>
                </c:pt>
                <c:pt idx="10">
                  <c:v>0.86491750687442714</c:v>
                </c:pt>
                <c:pt idx="11">
                  <c:v>0.86341743119266057</c:v>
                </c:pt>
                <c:pt idx="12">
                  <c:v>0.8712234348075818</c:v>
                </c:pt>
                <c:pt idx="13">
                  <c:v>0.86288088642659277</c:v>
                </c:pt>
                <c:pt idx="14">
                  <c:v>0.84221453287197234</c:v>
                </c:pt>
                <c:pt idx="15">
                  <c:v>0.81907819307498275</c:v>
                </c:pt>
                <c:pt idx="16">
                  <c:v>0.83085501858736055</c:v>
                </c:pt>
                <c:pt idx="17">
                  <c:v>0.82888863454274919</c:v>
                </c:pt>
                <c:pt idx="18">
                  <c:v>0.82076440387906446</c:v>
                </c:pt>
                <c:pt idx="19">
                  <c:v>0.82672758423757853</c:v>
                </c:pt>
                <c:pt idx="20">
                  <c:v>0.83302836230558097</c:v>
                </c:pt>
                <c:pt idx="21">
                  <c:v>0.81217985202048948</c:v>
                </c:pt>
                <c:pt idx="22">
                  <c:v>0.82467754822508843</c:v>
                </c:pt>
                <c:pt idx="23">
                  <c:v>0.83346461122988635</c:v>
                </c:pt>
                <c:pt idx="24">
                  <c:v>0.85235507246376807</c:v>
                </c:pt>
                <c:pt idx="25">
                  <c:v>0.83751910897575887</c:v>
                </c:pt>
                <c:pt idx="26">
                  <c:v>0.84236399388245575</c:v>
                </c:pt>
                <c:pt idx="27">
                  <c:v>0.84617865204772658</c:v>
                </c:pt>
                <c:pt idx="28">
                  <c:v>0.83950876456387113</c:v>
                </c:pt>
                <c:pt idx="29">
                  <c:v>0.82661207778915047</c:v>
                </c:pt>
                <c:pt idx="30">
                  <c:v>0.78786707882534779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CA-44D7-A052-E558611CD4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03185807"/>
        <c:axId val="1203184367"/>
      </c:barChart>
      <c:catAx>
        <c:axId val="1203185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3184367"/>
        <c:crosses val="autoZero"/>
        <c:auto val="1"/>
        <c:lblAlgn val="ctr"/>
        <c:lblOffset val="100"/>
        <c:noMultiLvlLbl val="0"/>
      </c:catAx>
      <c:valAx>
        <c:axId val="120318436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3185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53cdfcf-8941-4e22-8b1e-acdbbf94eb10">
      <UserInfo>
        <DisplayName/>
        <AccountId xsi:nil="true"/>
        <AccountType/>
      </UserInfo>
    </Owner>
    <From xmlns="a53cdfcf-8941-4e22-8b1e-acdbbf94eb10" xsi:nil="true"/>
    <lcf76f155ced4ddcb4097134ff3c332f xmlns="a53cdfcf-8941-4e22-8b1e-acdbbf94eb10">
      <Terms xmlns="http://schemas.microsoft.com/office/infopath/2007/PartnerControls"/>
    </lcf76f155ced4ddcb4097134ff3c332f>
    <CreatedDate xmlns="a53cdfcf-8941-4e22-8b1e-acdbbf94eb10" xsi:nil="true"/>
    <Customer xmlns="a53cdfcf-8941-4e22-8b1e-acdbbf94eb10" xsi:nil="true"/>
    <WorkItemRefNo_x002e_ xmlns="a53cdfcf-8941-4e22-8b1e-acdbbf94eb10" xsi:nil="true"/>
    <ProductType xmlns="a53cdfcf-8941-4e22-8b1e-acdbbf94eb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DAB6B27F48A4796EC00149E9AB9EE" ma:contentTypeVersion="27" ma:contentTypeDescription="Create a new document." ma:contentTypeScope="" ma:versionID="46c141e6ce449603910b5a955148eae8">
  <xsd:schema xmlns:xsd="http://www.w3.org/2001/XMLSchema" xmlns:xs="http://www.w3.org/2001/XMLSchema" xmlns:p="http://schemas.microsoft.com/office/2006/metadata/properties" xmlns:ns2="a53cdfcf-8941-4e22-8b1e-acdbbf94eb10" xmlns:ns3="46c1069b-2ced-404f-840c-5e76855fa553" targetNamespace="http://schemas.microsoft.com/office/2006/metadata/properties" ma:root="true" ma:fieldsID="685640c71076f43002fb4f024a5cdad0" ns2:_="" ns3:_="">
    <xsd:import namespace="a53cdfcf-8941-4e22-8b1e-acdbbf94eb10"/>
    <xsd:import namespace="46c1069b-2ced-404f-840c-5e76855fa553"/>
    <xsd:element name="properties">
      <xsd:complexType>
        <xsd:sequence>
          <xsd:element name="documentManagement">
            <xsd:complexType>
              <xsd:all>
                <xsd:element ref="ns2:CreatedDate" minOccurs="0"/>
                <xsd:element ref="ns2:Owner" minOccurs="0"/>
                <xsd:element ref="ns2:WorkItemRefNo_x002e_" minOccurs="0"/>
                <xsd:element ref="ns2:ProductType" minOccurs="0"/>
                <xsd:element ref="ns2:Customer" minOccurs="0"/>
                <xsd:element ref="ns2:From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cdfcf-8941-4e22-8b1e-acdbbf94eb10" elementFormDefault="qualified">
    <xsd:import namespace="http://schemas.microsoft.com/office/2006/documentManagement/types"/>
    <xsd:import namespace="http://schemas.microsoft.com/office/infopath/2007/PartnerControls"/>
    <xsd:element name="CreatedDate" ma:index="3" nillable="true" ma:displayName="Created Date" ma:format="DateOnly" ma:internalName="CreatedDate" ma:readOnly="false">
      <xsd:simpleType>
        <xsd:restriction base="dms:DateTime"/>
      </xsd:simpleType>
    </xsd:element>
    <xsd:element name="Owner" ma:index="4" nillable="true" ma:displayName="Owner" ma:format="Dropdown" ma:list="UserInfo" ma:SharePointGroup="0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orkItemRefNo_x002e_" ma:index="5" nillable="true" ma:displayName="Work Item Ref No." ma:format="Dropdown" ma:internalName="WorkItemRefNo_x002e_" ma:readOnly="false">
      <xsd:simpleType>
        <xsd:restriction base="dms:Text">
          <xsd:maxLength value="50"/>
        </xsd:restriction>
      </xsd:simpleType>
    </xsd:element>
    <xsd:element name="ProductType" ma:index="6" nillable="true" ma:displayName="Product Type" ma:format="Dropdown" ma:internalName="ProductType">
      <xsd:simpleType>
        <xsd:restriction base="dms:Choice">
          <xsd:enumeration value="Management"/>
          <xsd:enumeration value="Continuous Improvement"/>
          <xsd:enumeration value="Reporting - Indicator Design"/>
          <xsd:enumeration value="Reporting - Corporate Performance"/>
          <xsd:enumeration value="Reporting - Stat Return"/>
          <xsd:enumeration value="Reporting-  Automation"/>
          <xsd:enumeration value="Insight - Deep Dive"/>
          <xsd:enumeration value="Insight - Needs Analysis"/>
          <xsd:enumeration value="Insight - Consultation"/>
          <xsd:enumeration value="Insight - General"/>
          <xsd:enumeration value="Partner/Traded Service"/>
          <xsd:enumeration value="Ad Hoc e.g., data request"/>
        </xsd:restriction>
      </xsd:simpleType>
    </xsd:element>
    <xsd:element name="Customer" ma:index="7" nillable="true" ma:displayName="Customer" ma:format="Dropdown" ma:internalName="Customer" ma:readOnly="false">
      <xsd:simpleType>
        <xsd:restriction base="dms:Choice">
          <xsd:enumeration value="Adults"/>
          <xsd:enumeration value="BDEx"/>
          <xsd:enumeration value="Childrens"/>
          <xsd:enumeration value="Communities"/>
          <xsd:enumeration value="DCE"/>
          <xsd:enumeration value="PGS"/>
          <xsd:enumeration value="Public Health"/>
          <xsd:enumeration value="Opportunity Bucks"/>
          <xsd:enumeration value="Resources"/>
        </xsd:restriction>
      </xsd:simpleType>
    </xsd:element>
    <xsd:element name="From" ma:index="8" nillable="true" ma:displayName="From" ma:format="Dropdown" ma:internalName="From" ma:readOnly="false">
      <xsd:simpleType>
        <xsd:restriction base="dms:Text">
          <xsd:maxLength value="255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1069b-2ced-404f-840c-5e76855fa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4160B-3BF6-4D3C-A74F-479A9574DBD1}">
  <ds:schemaRefs>
    <ds:schemaRef ds:uri="http://purl.org/dc/dcmitype/"/>
    <ds:schemaRef ds:uri="http://purl.org/dc/terms/"/>
    <ds:schemaRef ds:uri="http://schemas.microsoft.com/office/2006/documentManagement/types"/>
    <ds:schemaRef ds:uri="46c1069b-2ced-404f-840c-5e76855fa553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a53cdfcf-8941-4e22-8b1e-acdbbf94eb10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E2A3050-15B0-4224-950D-EA63B2FA9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04E50-2508-4ED9-A46A-B7AC206FA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cdfcf-8941-4e22-8b1e-acdbbf94eb10"/>
    <ds:schemaRef ds:uri="46c1069b-2ced-404f-840c-5e76855fa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47DC00-A285-469F-B4D6-EF5437A7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Council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Hargrave</dc:creator>
  <cp:keywords/>
  <dc:description/>
  <cp:lastModifiedBy>Caroline Hargrave</cp:lastModifiedBy>
  <cp:revision>2</cp:revision>
  <dcterms:created xsi:type="dcterms:W3CDTF">2024-11-26T14:15:00Z</dcterms:created>
  <dcterms:modified xsi:type="dcterms:W3CDTF">2024-11-26T14:15:00Z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0x010100DCADAB6B27F48A4796EC00149E9AB9EE</vt:lpwstr>
  </property>
  <property fmtid="{D5CDD505-2E9C-101B-9397-08002B2CF9AE}" pid="3" name="MediaServiceImageTags">
    <vt:lpwstr/>
  </property>
</Properties>
</file>