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CF3C" w14:textId="0E99336E" w:rsidR="00C530B8" w:rsidRPr="00C530B8" w:rsidRDefault="00C530B8" w:rsidP="00C530B8">
      <w:pPr>
        <w:rPr>
          <w:rFonts w:ascii="Arial" w:hAnsi="Arial" w:cs="Arial"/>
          <w:b/>
          <w:bCs/>
          <w:sz w:val="24"/>
          <w:szCs w:val="24"/>
        </w:rPr>
      </w:pPr>
      <w:r w:rsidRPr="00C530B8">
        <w:rPr>
          <w:rFonts w:ascii="Arial" w:hAnsi="Arial" w:cs="Arial"/>
          <w:b/>
          <w:bCs/>
          <w:sz w:val="24"/>
          <w:szCs w:val="24"/>
        </w:rPr>
        <w:t xml:space="preserve">An Audit of Buckinghamshire’s Green Economy – Specification </w:t>
      </w:r>
    </w:p>
    <w:p w14:paraId="5C8780CC" w14:textId="77777777" w:rsidR="00C530B8" w:rsidRDefault="00C530B8" w:rsidP="00C530B8">
      <w:pPr>
        <w:rPr>
          <w:rFonts w:ascii="Arial" w:hAnsi="Arial" w:cs="Arial"/>
        </w:rPr>
      </w:pPr>
    </w:p>
    <w:p w14:paraId="73682813" w14:textId="01E22A90" w:rsidR="00C530B8" w:rsidRDefault="00C530B8" w:rsidP="00C53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project will include: </w:t>
      </w:r>
    </w:p>
    <w:p w14:paraId="7DD66479" w14:textId="77777777" w:rsidR="00C530B8" w:rsidRDefault="00C530B8" w:rsidP="00C530B8">
      <w:pPr>
        <w:rPr>
          <w:rFonts w:ascii="Arial" w:hAnsi="Arial" w:cs="Arial"/>
        </w:rPr>
      </w:pPr>
    </w:p>
    <w:p w14:paraId="24D974AA" w14:textId="77777777" w:rsidR="00C530B8" w:rsidRDefault="00C530B8" w:rsidP="00C530B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Developing an evidence base </w:t>
      </w:r>
    </w:p>
    <w:p w14:paraId="455D573A" w14:textId="77777777" w:rsidR="00C530B8" w:rsidRDefault="00C530B8" w:rsidP="00C530B8">
      <w:pPr>
        <w:rPr>
          <w:rFonts w:ascii="Arial" w:hAnsi="Arial" w:cs="Arial"/>
          <w:b/>
          <w:bCs/>
          <w:szCs w:val="28"/>
        </w:rPr>
      </w:pPr>
    </w:p>
    <w:p w14:paraId="28E83220" w14:textId="77777777" w:rsidR="00C530B8" w:rsidRDefault="00C530B8" w:rsidP="00C530B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This will consist of two elements.  </w:t>
      </w:r>
    </w:p>
    <w:p w14:paraId="6ED7B83C" w14:textId="77777777" w:rsidR="00C530B8" w:rsidRDefault="00C530B8" w:rsidP="00C530B8">
      <w:pPr>
        <w:rPr>
          <w:rFonts w:ascii="Arial" w:hAnsi="Arial" w:cs="Arial"/>
        </w:rPr>
      </w:pPr>
    </w:p>
    <w:p w14:paraId="64C3C1FE" w14:textId="77777777" w:rsidR="00C530B8" w:rsidRDefault="00C530B8" w:rsidP="00C530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Innovation for net zero </w:t>
      </w:r>
    </w:p>
    <w:p w14:paraId="44F61234" w14:textId="77777777" w:rsidR="00C530B8" w:rsidRDefault="00C530B8" w:rsidP="00C530B8">
      <w:pPr>
        <w:rPr>
          <w:rFonts w:ascii="Arial" w:hAnsi="Arial" w:cs="Arial"/>
        </w:rPr>
      </w:pPr>
    </w:p>
    <w:p w14:paraId="2F252211" w14:textId="77777777" w:rsidR="00C530B8" w:rsidRPr="00532D6C" w:rsidRDefault="00C530B8" w:rsidP="00C530B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2D6C">
        <w:rPr>
          <w:rFonts w:ascii="Arial" w:hAnsi="Arial" w:cs="Arial"/>
          <w:sz w:val="22"/>
          <w:szCs w:val="22"/>
        </w:rPr>
        <w:t xml:space="preserve">Mapping and categorising local businesses operating in the green economy </w:t>
      </w:r>
      <w:r w:rsidRPr="00532D6C">
        <w:rPr>
          <w:rFonts w:ascii="Arial" w:hAnsi="Arial" w:cs="Arial"/>
          <w:i/>
          <w:iCs/>
          <w:sz w:val="22"/>
          <w:szCs w:val="22"/>
        </w:rPr>
        <w:t xml:space="preserve">(defined as the sectors identified in the </w:t>
      </w:r>
      <w:hyperlink r:id="rId7" w:history="1">
        <w:r w:rsidRPr="00532D6C">
          <w:rPr>
            <w:rStyle w:val="Hyperlink"/>
            <w:rFonts w:ascii="Arial" w:hAnsi="Arial" w:cs="Arial"/>
            <w:i/>
            <w:iCs/>
            <w:sz w:val="22"/>
            <w:szCs w:val="22"/>
          </w:rPr>
          <w:t>Green Jobs Taskforce report</w:t>
        </w:r>
      </w:hyperlink>
      <w:r w:rsidRPr="00532D6C">
        <w:rPr>
          <w:rFonts w:ascii="Arial" w:hAnsi="Arial" w:cs="Arial"/>
          <w:i/>
          <w:iCs/>
          <w:sz w:val="22"/>
          <w:szCs w:val="22"/>
        </w:rPr>
        <w:t xml:space="preserve">, July 2021, which is referenced in </w:t>
      </w:r>
      <w:hyperlink r:id="rId8" w:history="1">
        <w:r w:rsidRPr="00532D6C">
          <w:rPr>
            <w:rStyle w:val="Hyperlink"/>
            <w:rFonts w:ascii="Arial" w:hAnsi="Arial" w:cs="Arial"/>
            <w:i/>
            <w:iCs/>
            <w:sz w:val="22"/>
            <w:szCs w:val="22"/>
          </w:rPr>
          <w:t>Net Zero Strategy: Build Back Greener</w:t>
        </w:r>
      </w:hyperlink>
      <w:r w:rsidRPr="00532D6C">
        <w:rPr>
          <w:rFonts w:ascii="Arial" w:hAnsi="Arial" w:cs="Arial"/>
          <w:i/>
          <w:iCs/>
          <w:sz w:val="22"/>
          <w:szCs w:val="22"/>
        </w:rPr>
        <w:t>, October 2021.  These are listed in table 1 below)</w:t>
      </w:r>
      <w:r w:rsidRPr="00532D6C">
        <w:rPr>
          <w:rFonts w:ascii="Arial" w:hAnsi="Arial" w:cs="Arial"/>
          <w:sz w:val="22"/>
          <w:szCs w:val="22"/>
        </w:rPr>
        <w:t xml:space="preserve"> </w:t>
      </w:r>
    </w:p>
    <w:p w14:paraId="3E98C376" w14:textId="77777777" w:rsidR="00C530B8" w:rsidRPr="00532D6C" w:rsidRDefault="00C530B8" w:rsidP="00C530B8">
      <w:pPr>
        <w:rPr>
          <w:rFonts w:ascii="Arial" w:hAnsi="Arial" w:cs="Arial"/>
        </w:rPr>
      </w:pPr>
    </w:p>
    <w:p w14:paraId="058F652E" w14:textId="77777777" w:rsidR="00C530B8" w:rsidRPr="00532D6C" w:rsidRDefault="00C530B8" w:rsidP="00C530B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2D6C">
        <w:rPr>
          <w:rFonts w:ascii="Arial" w:hAnsi="Arial" w:cs="Arial"/>
          <w:sz w:val="22"/>
          <w:szCs w:val="22"/>
        </w:rPr>
        <w:t xml:space="preserve">Identifying Buckinghamshire’s green economy specialisms.  </w:t>
      </w:r>
    </w:p>
    <w:p w14:paraId="69294AFC" w14:textId="77777777" w:rsidR="00C530B8" w:rsidRPr="00532D6C" w:rsidRDefault="00C530B8" w:rsidP="00C530B8">
      <w:pPr>
        <w:pStyle w:val="ListParagraph"/>
        <w:rPr>
          <w:rFonts w:ascii="Arial" w:hAnsi="Arial" w:cs="Arial"/>
          <w:sz w:val="22"/>
          <w:szCs w:val="22"/>
        </w:rPr>
      </w:pPr>
    </w:p>
    <w:p w14:paraId="702E8501" w14:textId="77777777" w:rsidR="00C530B8" w:rsidRPr="00532D6C" w:rsidRDefault="00C530B8" w:rsidP="00C530B8">
      <w:pPr>
        <w:pStyle w:val="ListParagraph"/>
        <w:rPr>
          <w:rFonts w:ascii="Arial" w:hAnsi="Arial" w:cs="Arial"/>
          <w:sz w:val="22"/>
          <w:szCs w:val="22"/>
        </w:rPr>
      </w:pPr>
      <w:r w:rsidRPr="00532D6C">
        <w:rPr>
          <w:rFonts w:ascii="Arial" w:hAnsi="Arial" w:cs="Arial"/>
          <w:sz w:val="22"/>
          <w:szCs w:val="22"/>
        </w:rPr>
        <w:t xml:space="preserve">Which local companies are leading the way nationally and internationally?  Are there clusters of green economy activity in / near to Buckinghamshire?  </w:t>
      </w:r>
    </w:p>
    <w:p w14:paraId="43B160F0" w14:textId="77777777" w:rsidR="00C530B8" w:rsidRPr="00532D6C" w:rsidRDefault="00C530B8" w:rsidP="00C530B8">
      <w:pPr>
        <w:pStyle w:val="ListParagraph"/>
        <w:rPr>
          <w:rFonts w:ascii="Arial" w:hAnsi="Arial" w:cs="Arial"/>
          <w:sz w:val="22"/>
          <w:szCs w:val="22"/>
        </w:rPr>
      </w:pPr>
    </w:p>
    <w:p w14:paraId="06E0AE7C" w14:textId="77777777" w:rsidR="00C530B8" w:rsidRPr="00532D6C" w:rsidRDefault="00C530B8" w:rsidP="00C530B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2D6C">
        <w:rPr>
          <w:rFonts w:ascii="Arial" w:hAnsi="Arial" w:cs="Arial"/>
          <w:sz w:val="22"/>
          <w:szCs w:val="22"/>
        </w:rPr>
        <w:t xml:space="preserve">Identifying opportunities for growing these and other green specialisms in the County </w:t>
      </w:r>
    </w:p>
    <w:p w14:paraId="74926F9C" w14:textId="77777777" w:rsidR="00C530B8" w:rsidRDefault="00C530B8" w:rsidP="00C530B8">
      <w:pPr>
        <w:rPr>
          <w:rFonts w:ascii="Arial" w:hAnsi="Arial" w:cs="Arial"/>
        </w:rPr>
      </w:pPr>
    </w:p>
    <w:p w14:paraId="30D0A617" w14:textId="77777777" w:rsidR="00C530B8" w:rsidRDefault="00C530B8" w:rsidP="00C530B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8"/>
        </w:rPr>
        <w:t xml:space="preserve">Business journey to net zero </w:t>
      </w:r>
      <w:r>
        <w:rPr>
          <w:rFonts w:ascii="Arial" w:hAnsi="Arial" w:cs="Arial"/>
          <w:sz w:val="24"/>
        </w:rPr>
        <w:t xml:space="preserve"> </w:t>
      </w:r>
    </w:p>
    <w:p w14:paraId="4F8081EB" w14:textId="77777777" w:rsidR="00C530B8" w:rsidRDefault="00C530B8" w:rsidP="00C530B8">
      <w:pPr>
        <w:rPr>
          <w:rFonts w:ascii="Arial" w:hAnsi="Arial" w:cs="Arial"/>
        </w:rPr>
      </w:pPr>
    </w:p>
    <w:p w14:paraId="1004EBBE" w14:textId="77777777" w:rsidR="00C530B8" w:rsidRDefault="00C530B8" w:rsidP="00C530B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Benchmarking the extent to which Buckinghamshire’s business population as a whole are adopting net zero strategies (including switching to cleaner fuels and improving resource and energy efficiency) and net gains being achieved. </w:t>
      </w:r>
    </w:p>
    <w:p w14:paraId="27D4838F" w14:textId="77777777" w:rsidR="00C530B8" w:rsidRDefault="00C530B8" w:rsidP="00C530B8">
      <w:pPr>
        <w:rPr>
          <w:rFonts w:ascii="Arial" w:hAnsi="Arial" w:cs="Arial"/>
        </w:rPr>
      </w:pPr>
    </w:p>
    <w:p w14:paraId="1EC7CCE2" w14:textId="77777777" w:rsidR="00C530B8" w:rsidRDefault="00C530B8" w:rsidP="00C530B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Making policy recommendations </w:t>
      </w:r>
    </w:p>
    <w:p w14:paraId="720BBBF6" w14:textId="77777777" w:rsidR="00C530B8" w:rsidRDefault="00C530B8" w:rsidP="00C530B8">
      <w:pPr>
        <w:rPr>
          <w:rFonts w:ascii="Arial" w:hAnsi="Arial" w:cs="Arial"/>
        </w:rPr>
      </w:pPr>
    </w:p>
    <w:p w14:paraId="4736BF9B" w14:textId="77777777" w:rsidR="00C530B8" w:rsidRDefault="00C530B8" w:rsidP="00C530B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Articulating the opportunities and challenges for green innovation and business journeys to net zero in the County </w:t>
      </w:r>
    </w:p>
    <w:p w14:paraId="1A61853D" w14:textId="77777777" w:rsidR="00C530B8" w:rsidRDefault="00C530B8" w:rsidP="00C530B8">
      <w:pPr>
        <w:pStyle w:val="ListParagraph"/>
        <w:rPr>
          <w:rFonts w:ascii="Arial" w:hAnsi="Arial" w:cs="Arial"/>
          <w:sz w:val="22"/>
          <w:szCs w:val="28"/>
        </w:rPr>
      </w:pPr>
    </w:p>
    <w:p w14:paraId="2A41262A" w14:textId="77777777" w:rsidR="00C530B8" w:rsidRDefault="00C530B8" w:rsidP="00C530B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Making recommendations regarding the role of Buckinghamshire LEP and economic development partners (including Buckinghamshire Business First and Buckinghamshire Council) in driving forward local, </w:t>
      </w:r>
      <w:proofErr w:type="gramStart"/>
      <w:r>
        <w:rPr>
          <w:rFonts w:ascii="Arial" w:hAnsi="Arial" w:cs="Arial"/>
          <w:sz w:val="22"/>
          <w:szCs w:val="28"/>
        </w:rPr>
        <w:t>national</w:t>
      </w:r>
      <w:proofErr w:type="gramEnd"/>
      <w:r>
        <w:rPr>
          <w:rFonts w:ascii="Arial" w:hAnsi="Arial" w:cs="Arial"/>
          <w:sz w:val="22"/>
          <w:szCs w:val="28"/>
        </w:rPr>
        <w:t xml:space="preserve"> and global net zero ambitions in the short, medium and long term. What should the </w:t>
      </w:r>
      <w:proofErr w:type="gramStart"/>
      <w:r>
        <w:rPr>
          <w:rFonts w:ascii="Arial" w:hAnsi="Arial" w:cs="Arial"/>
          <w:sz w:val="22"/>
          <w:szCs w:val="28"/>
        </w:rPr>
        <w:t>LEP</w:t>
      </w:r>
      <w:proofErr w:type="gramEnd"/>
      <w:r>
        <w:rPr>
          <w:rFonts w:ascii="Arial" w:hAnsi="Arial" w:cs="Arial"/>
          <w:sz w:val="22"/>
          <w:szCs w:val="28"/>
        </w:rPr>
        <w:t xml:space="preserve"> and partners be doing over the next 5, 10, 15, 25 and 30 years? </w:t>
      </w:r>
    </w:p>
    <w:p w14:paraId="2061EB28" w14:textId="77777777" w:rsidR="00C530B8" w:rsidRDefault="00C530B8" w:rsidP="00C530B8">
      <w:pPr>
        <w:pStyle w:val="ListParagraph"/>
        <w:rPr>
          <w:rFonts w:ascii="Arial" w:hAnsi="Arial" w:cs="Arial"/>
          <w:sz w:val="22"/>
          <w:szCs w:val="28"/>
        </w:rPr>
      </w:pPr>
    </w:p>
    <w:p w14:paraId="67872576" w14:textId="77777777" w:rsidR="00C530B8" w:rsidRDefault="00C530B8" w:rsidP="00C530B8">
      <w:pPr>
        <w:rPr>
          <w:rFonts w:ascii="Arial" w:hAnsi="Arial" w:cs="Arial"/>
        </w:rPr>
      </w:pPr>
      <w:r>
        <w:rPr>
          <w:rFonts w:ascii="Arial" w:hAnsi="Arial" w:cs="Arial"/>
        </w:rPr>
        <w:t>Ultimately, the findings of this research will inform local net zero economic strategy (including skills strategy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>).</w:t>
      </w:r>
    </w:p>
    <w:p w14:paraId="46B50818" w14:textId="77777777" w:rsidR="00C530B8" w:rsidRDefault="00C530B8" w:rsidP="00C530B8">
      <w:pPr>
        <w:rPr>
          <w:rFonts w:ascii="Arial" w:hAnsi="Arial" w:cs="Arial"/>
          <w:szCs w:val="28"/>
        </w:rPr>
      </w:pPr>
    </w:p>
    <w:p w14:paraId="2A044D99" w14:textId="77777777" w:rsidR="00C530B8" w:rsidRDefault="00C530B8" w:rsidP="00C530B8">
      <w:pPr>
        <w:pStyle w:val="TyndallBaseDoc"/>
        <w:rPr>
          <w:rFonts w:cs="Arial"/>
        </w:rPr>
      </w:pPr>
      <w:r>
        <w:rPr>
          <w:rFonts w:cs="Arial"/>
        </w:rPr>
        <w:t xml:space="preserve">Table 1. Green economy sectors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530B8" w:rsidRPr="00D934DB" w14:paraId="6036AB11" w14:textId="77777777" w:rsidTr="00FA53A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A800" w14:textId="77777777" w:rsidR="00C530B8" w:rsidRDefault="00C530B8" w:rsidP="00C530B8">
            <w:pPr>
              <w:pStyle w:val="TyndallBaseDoc"/>
              <w:numPr>
                <w:ilvl w:val="0"/>
                <w:numId w:val="5"/>
              </w:num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Well-established green sectors which will experience significant growth</w:t>
            </w:r>
          </w:p>
        </w:tc>
      </w:tr>
      <w:tr w:rsidR="00C530B8" w:rsidRPr="00D934DB" w14:paraId="05818289" w14:textId="77777777" w:rsidTr="00FA53A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8552" w14:textId="77777777" w:rsidR="00C530B8" w:rsidRDefault="00C530B8" w:rsidP="00C530B8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electricity networks</w:t>
            </w:r>
          </w:p>
          <w:p w14:paraId="3500529D" w14:textId="77777777" w:rsidR="00C530B8" w:rsidRDefault="00C530B8" w:rsidP="00C530B8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smart systems technologies</w:t>
            </w:r>
          </w:p>
          <w:p w14:paraId="686E10DF" w14:textId="77777777" w:rsidR="00C530B8" w:rsidRDefault="00C530B8" w:rsidP="00C530B8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buildings retrofit sector</w:t>
            </w:r>
          </w:p>
          <w:p w14:paraId="618A31EC" w14:textId="77777777" w:rsidR="00C530B8" w:rsidRDefault="00C530B8" w:rsidP="00C530B8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building fabric energy efficiency</w:t>
            </w:r>
          </w:p>
          <w:p w14:paraId="0DAA0EB1" w14:textId="77777777" w:rsidR="00C530B8" w:rsidRDefault="00C530B8" w:rsidP="00C530B8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modern methods of construction for retrofit and especially new build </w:t>
            </w:r>
          </w:p>
          <w:p w14:paraId="50025B9D" w14:textId="77777777" w:rsidR="00C530B8" w:rsidRDefault="00C530B8" w:rsidP="00C530B8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offshore wind</w:t>
            </w:r>
          </w:p>
        </w:tc>
      </w:tr>
      <w:tr w:rsidR="00C530B8" w:rsidRPr="00D934DB" w14:paraId="52AAC286" w14:textId="77777777" w:rsidTr="00FA53A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75D8" w14:textId="77777777" w:rsidR="00C530B8" w:rsidRPr="00D934DB" w:rsidRDefault="00C530B8" w:rsidP="00C530B8">
            <w:pPr>
              <w:pStyle w:val="Heading3"/>
              <w:numPr>
                <w:ilvl w:val="0"/>
                <w:numId w:val="5"/>
              </w:numPr>
              <w:tabs>
                <w:tab w:val="num" w:pos="360"/>
              </w:tabs>
              <w:spacing w:line="256" w:lineRule="auto"/>
              <w:ind w:left="0"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934DB"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Green sectors that are predicted to grow ahead of the transition to net zero</w:t>
            </w:r>
          </w:p>
        </w:tc>
      </w:tr>
      <w:tr w:rsidR="00C530B8" w:rsidRPr="00D934DB" w14:paraId="36EBDB95" w14:textId="77777777" w:rsidTr="00FA53A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6D76" w14:textId="77777777" w:rsidR="00C530B8" w:rsidRDefault="00C530B8" w:rsidP="00C530B8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hydrogen </w:t>
            </w:r>
          </w:p>
          <w:p w14:paraId="11753F75" w14:textId="77777777" w:rsidR="00C530B8" w:rsidRDefault="00C530B8" w:rsidP="00C530B8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Carbon Capture, Usage and Storage (CCUS)</w:t>
            </w:r>
          </w:p>
          <w:p w14:paraId="5A101B15" w14:textId="77777777" w:rsidR="00C530B8" w:rsidRDefault="00C530B8" w:rsidP="00C530B8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climate resilience market</w:t>
            </w:r>
          </w:p>
        </w:tc>
      </w:tr>
      <w:tr w:rsidR="00C530B8" w:rsidRPr="00D934DB" w14:paraId="5212A3F5" w14:textId="77777777" w:rsidTr="00FA53A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ACA3" w14:textId="77777777" w:rsidR="00C530B8" w:rsidRPr="00D934DB" w:rsidRDefault="00C530B8" w:rsidP="00C530B8">
            <w:pPr>
              <w:pStyle w:val="Heading3"/>
              <w:numPr>
                <w:ilvl w:val="0"/>
                <w:numId w:val="5"/>
              </w:numPr>
              <w:tabs>
                <w:tab w:val="num" w:pos="360"/>
              </w:tabs>
              <w:spacing w:line="256" w:lineRule="auto"/>
              <w:ind w:left="0"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D934DB">
              <w:rPr>
                <w:b w:val="0"/>
                <w:bCs w:val="0"/>
                <w:sz w:val="22"/>
                <w:szCs w:val="22"/>
                <w:lang w:eastAsia="en-US"/>
              </w:rPr>
              <w:t>Sectors experiencing significant transformation</w:t>
            </w:r>
          </w:p>
        </w:tc>
      </w:tr>
      <w:tr w:rsidR="00C530B8" w:rsidRPr="00D934DB" w14:paraId="63B65ACA" w14:textId="77777777" w:rsidTr="00FA53A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D76E" w14:textId="77777777" w:rsidR="00C530B8" w:rsidRDefault="00C530B8" w:rsidP="00C530B8">
            <w:pPr>
              <w:pStyle w:val="ListParagraph"/>
              <w:numPr>
                <w:ilvl w:val="0"/>
                <w:numId w:val="8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automotive </w:t>
            </w:r>
          </w:p>
          <w:p w14:paraId="29DD603E" w14:textId="77777777" w:rsidR="00C530B8" w:rsidRDefault="00C530B8" w:rsidP="00C530B8">
            <w:pPr>
              <w:pStyle w:val="ListParagraph"/>
              <w:numPr>
                <w:ilvl w:val="0"/>
                <w:numId w:val="8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heating and cooling</w:t>
            </w:r>
          </w:p>
          <w:p w14:paraId="2CC1F6BA" w14:textId="77777777" w:rsidR="00C530B8" w:rsidRDefault="00C530B8" w:rsidP="00C530B8">
            <w:pPr>
              <w:pStyle w:val="ListParagraph"/>
              <w:numPr>
                <w:ilvl w:val="0"/>
                <w:numId w:val="8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circular economy</w:t>
            </w:r>
          </w:p>
          <w:p w14:paraId="28230CFF" w14:textId="77777777" w:rsidR="00C530B8" w:rsidRDefault="00C530B8" w:rsidP="00C530B8">
            <w:pPr>
              <w:pStyle w:val="ListParagraph"/>
              <w:numPr>
                <w:ilvl w:val="0"/>
                <w:numId w:val="8"/>
              </w:numPr>
              <w:spacing w:after="1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oil and gas</w:t>
            </w:r>
          </w:p>
        </w:tc>
      </w:tr>
    </w:tbl>
    <w:p w14:paraId="65C5F483" w14:textId="77777777" w:rsidR="00C530B8" w:rsidRDefault="00C530B8" w:rsidP="00C530B8">
      <w:pPr>
        <w:rPr>
          <w:rFonts w:ascii="Arial" w:hAnsi="Arial" w:cs="Arial"/>
          <w:szCs w:val="28"/>
        </w:rPr>
      </w:pPr>
    </w:p>
    <w:p w14:paraId="76422C77" w14:textId="77777777" w:rsidR="00C530B8" w:rsidRDefault="00C530B8" w:rsidP="00C530B8">
      <w:pPr>
        <w:rPr>
          <w:rFonts w:ascii="Arial" w:hAnsi="Arial" w:cs="Arial"/>
        </w:rPr>
      </w:pPr>
    </w:p>
    <w:p w14:paraId="63B0BA21" w14:textId="77777777" w:rsidR="00C530B8" w:rsidRDefault="00C530B8" w:rsidP="00C530B8">
      <w:pPr>
        <w:rPr>
          <w:rFonts w:ascii="Arial" w:hAnsi="Arial" w:cs="Arial"/>
          <w:b/>
          <w:bCs/>
          <w:color w:val="006964"/>
        </w:rPr>
      </w:pPr>
      <w:r>
        <w:rPr>
          <w:rFonts w:ascii="Arial" w:hAnsi="Arial" w:cs="Arial"/>
          <w:b/>
          <w:bCs/>
          <w:color w:val="006964"/>
        </w:rPr>
        <w:br w:type="page"/>
      </w:r>
      <w:r>
        <w:rPr>
          <w:rFonts w:ascii="Arial" w:hAnsi="Arial" w:cs="Arial"/>
          <w:b/>
          <w:bCs/>
          <w:color w:val="006964"/>
        </w:rPr>
        <w:lastRenderedPageBreak/>
        <w:t>Outputs</w:t>
      </w:r>
    </w:p>
    <w:p w14:paraId="0DE16938" w14:textId="77777777" w:rsidR="00C530B8" w:rsidRDefault="00C530B8" w:rsidP="00C530B8">
      <w:pPr>
        <w:rPr>
          <w:rFonts w:ascii="Arial" w:hAnsi="Arial" w:cs="Arial"/>
        </w:rPr>
      </w:pPr>
    </w:p>
    <w:p w14:paraId="1B8E4C08" w14:textId="77777777" w:rsidR="00C530B8" w:rsidRPr="00D934DB" w:rsidRDefault="00C530B8" w:rsidP="00C530B8">
      <w:pPr>
        <w:rPr>
          <w:rFonts w:ascii="Arial" w:hAnsi="Arial" w:cs="Arial"/>
        </w:rPr>
      </w:pPr>
      <w:r w:rsidRPr="00D934DB">
        <w:rPr>
          <w:rFonts w:ascii="Arial" w:hAnsi="Arial" w:cs="Arial"/>
        </w:rPr>
        <w:t xml:space="preserve">We require the following outputs from the project: </w:t>
      </w:r>
    </w:p>
    <w:p w14:paraId="3D079BB5" w14:textId="77777777" w:rsidR="00C530B8" w:rsidRPr="00D934DB" w:rsidRDefault="00C530B8" w:rsidP="00C530B8">
      <w:pPr>
        <w:rPr>
          <w:rFonts w:ascii="Arial" w:hAnsi="Arial" w:cs="Arial"/>
        </w:rPr>
      </w:pPr>
    </w:p>
    <w:p w14:paraId="67ED4F8F" w14:textId="77777777" w:rsidR="00C530B8" w:rsidRPr="00532D6C" w:rsidRDefault="00C530B8" w:rsidP="00C530B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32D6C">
        <w:rPr>
          <w:rFonts w:ascii="Arial" w:hAnsi="Arial" w:cs="Arial"/>
          <w:sz w:val="22"/>
          <w:szCs w:val="22"/>
        </w:rPr>
        <w:t xml:space="preserve">An interactive map, that we can maintain locally, plotting the location of Buckinghamshire’s green economy innovators (such as that produced by the West Midlands Observatory - </w:t>
      </w:r>
      <w:hyperlink r:id="rId9" w:history="1">
        <w:r w:rsidRPr="00532D6C">
          <w:rPr>
            <w:rStyle w:val="Hyperlink"/>
            <w:rFonts w:ascii="Arial" w:hAnsi="Arial" w:cs="Arial"/>
            <w:sz w:val="22"/>
            <w:szCs w:val="22"/>
          </w:rPr>
          <w:t xml:space="preserve">Green Growth </w:t>
        </w:r>
        <w:proofErr w:type="spellStart"/>
        <w:r w:rsidRPr="00532D6C">
          <w:rPr>
            <w:rStyle w:val="Hyperlink"/>
            <w:rFonts w:ascii="Arial" w:hAnsi="Arial" w:cs="Arial"/>
            <w:sz w:val="22"/>
            <w:szCs w:val="22"/>
          </w:rPr>
          <w:t>Storymap</w:t>
        </w:r>
        <w:proofErr w:type="spellEnd"/>
        <w:r w:rsidRPr="00532D6C">
          <w:rPr>
            <w:rStyle w:val="Hyperlink"/>
            <w:rFonts w:ascii="Arial" w:hAnsi="Arial" w:cs="Arial"/>
            <w:sz w:val="22"/>
            <w:szCs w:val="22"/>
          </w:rPr>
          <w:t xml:space="preserve"> (arcgis.com)</w:t>
        </w:r>
      </w:hyperlink>
      <w:r w:rsidRPr="00532D6C">
        <w:rPr>
          <w:rFonts w:ascii="Arial" w:hAnsi="Arial" w:cs="Arial"/>
          <w:sz w:val="22"/>
          <w:szCs w:val="22"/>
        </w:rPr>
        <w:t xml:space="preserve">).  </w:t>
      </w:r>
    </w:p>
    <w:p w14:paraId="161214DE" w14:textId="77777777" w:rsidR="00C530B8" w:rsidRPr="00532D6C" w:rsidRDefault="00C530B8" w:rsidP="00C530B8">
      <w:pPr>
        <w:pStyle w:val="ListParagraph"/>
        <w:rPr>
          <w:rFonts w:ascii="Arial" w:hAnsi="Arial" w:cs="Arial"/>
          <w:sz w:val="22"/>
          <w:szCs w:val="22"/>
        </w:rPr>
      </w:pPr>
    </w:p>
    <w:p w14:paraId="4EB73C0C" w14:textId="77777777" w:rsidR="00C530B8" w:rsidRPr="00532D6C" w:rsidRDefault="00C530B8" w:rsidP="00C530B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32D6C">
        <w:rPr>
          <w:rFonts w:ascii="Arial" w:hAnsi="Arial" w:cs="Arial"/>
          <w:sz w:val="22"/>
          <w:szCs w:val="22"/>
        </w:rPr>
        <w:t xml:space="preserve">A list of local green economy businesses (where they are located, their size (employment/turnover) and what they do) </w:t>
      </w:r>
    </w:p>
    <w:p w14:paraId="6687896D" w14:textId="77777777" w:rsidR="00C530B8" w:rsidRDefault="00C530B8" w:rsidP="00C530B8">
      <w:pPr>
        <w:rPr>
          <w:rFonts w:ascii="Arial" w:hAnsi="Arial" w:cs="Arial"/>
        </w:rPr>
      </w:pPr>
    </w:p>
    <w:p w14:paraId="78AFF81B" w14:textId="77777777" w:rsidR="00C530B8" w:rsidRDefault="00C530B8" w:rsidP="00C530B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dashboard and underlying methodology for local stakeholders to benchmark and monitor Buckinghamshire businesses journey to net zero over the coming years. </w:t>
      </w:r>
    </w:p>
    <w:p w14:paraId="11CE1807" w14:textId="77777777" w:rsidR="00C530B8" w:rsidRDefault="00C530B8" w:rsidP="00C530B8">
      <w:pPr>
        <w:rPr>
          <w:rFonts w:ascii="Arial" w:hAnsi="Arial" w:cs="Arial"/>
        </w:rPr>
      </w:pPr>
    </w:p>
    <w:p w14:paraId="2A7C6D88" w14:textId="77777777" w:rsidR="00C530B8" w:rsidRDefault="00C530B8" w:rsidP="00C530B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written report (including a short, clear executive summary) including policy recommendations</w:t>
      </w:r>
    </w:p>
    <w:p w14:paraId="0282BB99" w14:textId="77777777" w:rsidR="00C530B8" w:rsidRDefault="00C530B8" w:rsidP="00C530B8">
      <w:pPr>
        <w:rPr>
          <w:rFonts w:ascii="Arial" w:hAnsi="Arial" w:cs="Arial"/>
          <w:b/>
          <w:bCs/>
          <w:color w:val="006964"/>
        </w:rPr>
      </w:pPr>
    </w:p>
    <w:p w14:paraId="6C63911B" w14:textId="77777777" w:rsidR="00C530B8" w:rsidRDefault="00C530B8" w:rsidP="00C530B8">
      <w:pPr>
        <w:rPr>
          <w:rFonts w:ascii="Arial" w:hAnsi="Arial" w:cs="Arial"/>
          <w:b/>
          <w:bCs/>
          <w:color w:val="006964"/>
        </w:rPr>
      </w:pPr>
      <w:r>
        <w:rPr>
          <w:rFonts w:ascii="Arial" w:hAnsi="Arial" w:cs="Arial"/>
          <w:b/>
          <w:bCs/>
          <w:color w:val="006964"/>
        </w:rPr>
        <w:t xml:space="preserve">Supporting information </w:t>
      </w:r>
    </w:p>
    <w:p w14:paraId="42C29F50" w14:textId="77777777" w:rsidR="00C530B8" w:rsidRDefault="00C530B8" w:rsidP="00C530B8">
      <w:pPr>
        <w:rPr>
          <w:rFonts w:ascii="Arial" w:hAnsi="Arial" w:cs="Arial"/>
        </w:rPr>
      </w:pPr>
    </w:p>
    <w:p w14:paraId="3F669D33" w14:textId="77777777" w:rsidR="00C530B8" w:rsidRPr="00532D6C" w:rsidRDefault="00C530B8" w:rsidP="00C530B8">
      <w:pPr>
        <w:rPr>
          <w:rFonts w:ascii="Arial" w:hAnsi="Arial" w:cs="Arial"/>
        </w:rPr>
      </w:pPr>
      <w:r w:rsidRPr="00532D6C">
        <w:rPr>
          <w:rFonts w:ascii="Arial" w:hAnsi="Arial" w:cs="Arial"/>
        </w:rPr>
        <w:t xml:space="preserve">We wish this project to take into account recommendations set out in the government’s </w:t>
      </w:r>
      <w:hyperlink r:id="rId10" w:history="1">
        <w:r w:rsidRPr="00532D6C">
          <w:rPr>
            <w:rStyle w:val="Hyperlink"/>
            <w:rFonts w:ascii="Arial" w:hAnsi="Arial" w:cs="Arial"/>
          </w:rPr>
          <w:t>Net Zero Strategy</w:t>
        </w:r>
      </w:hyperlink>
      <w:r w:rsidRPr="00532D6C">
        <w:rPr>
          <w:rFonts w:ascii="Arial" w:hAnsi="Arial" w:cs="Arial"/>
        </w:rPr>
        <w:t>, along with the following local strategies:</w:t>
      </w:r>
    </w:p>
    <w:p w14:paraId="5EA97EE6" w14:textId="77777777" w:rsidR="00C530B8" w:rsidRPr="00532D6C" w:rsidRDefault="00C530B8" w:rsidP="00C530B8">
      <w:pPr>
        <w:rPr>
          <w:rFonts w:ascii="Arial" w:hAnsi="Arial" w:cs="Arial"/>
        </w:rPr>
      </w:pPr>
    </w:p>
    <w:p w14:paraId="27762170" w14:textId="77777777" w:rsidR="00C530B8" w:rsidRPr="00532D6C" w:rsidRDefault="00C530B8" w:rsidP="00C530B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hyperlink r:id="rId11" w:history="1">
        <w:r w:rsidRPr="00532D6C">
          <w:rPr>
            <w:rStyle w:val="Hyperlink"/>
            <w:rFonts w:ascii="Arial" w:hAnsi="Arial" w:cs="Arial"/>
            <w:sz w:val="22"/>
            <w:szCs w:val="22"/>
          </w:rPr>
          <w:t>Buckinghamshire’s Local Industrial Strategy</w:t>
        </w:r>
      </w:hyperlink>
    </w:p>
    <w:p w14:paraId="79ED7E08" w14:textId="77777777" w:rsidR="00C530B8" w:rsidRPr="00532D6C" w:rsidRDefault="00C530B8" w:rsidP="00C530B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hyperlink r:id="rId12" w:history="1">
        <w:r w:rsidRPr="00532D6C">
          <w:rPr>
            <w:rStyle w:val="Hyperlink"/>
            <w:rFonts w:ascii="Arial" w:hAnsi="Arial" w:cs="Arial"/>
            <w:sz w:val="22"/>
            <w:szCs w:val="22"/>
          </w:rPr>
          <w:t>Buckinghamshire’s Economic Recovery Plan</w:t>
        </w:r>
      </w:hyperlink>
      <w:r w:rsidRPr="00532D6C">
        <w:rPr>
          <w:rFonts w:ascii="Arial" w:hAnsi="Arial" w:cs="Arial"/>
          <w:sz w:val="22"/>
          <w:szCs w:val="22"/>
        </w:rPr>
        <w:t xml:space="preserve"> </w:t>
      </w:r>
    </w:p>
    <w:p w14:paraId="2708E986" w14:textId="77777777" w:rsidR="00C530B8" w:rsidRPr="00532D6C" w:rsidRDefault="00C530B8" w:rsidP="00C530B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hyperlink r:id="rId13" w:history="1">
        <w:r w:rsidRPr="00532D6C">
          <w:rPr>
            <w:rStyle w:val="Hyperlink"/>
            <w:rFonts w:ascii="Arial" w:hAnsi="Arial" w:cs="Arial"/>
            <w:sz w:val="22"/>
            <w:szCs w:val="22"/>
          </w:rPr>
          <w:t>Buckinghamshire’s Local Energy Strategy</w:t>
        </w:r>
      </w:hyperlink>
    </w:p>
    <w:p w14:paraId="1BF393D2" w14:textId="77777777" w:rsidR="00C530B8" w:rsidRPr="00532D6C" w:rsidRDefault="00C530B8" w:rsidP="00C530B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hyperlink r:id="rId14" w:history="1">
        <w:r w:rsidRPr="00532D6C">
          <w:rPr>
            <w:rStyle w:val="Hyperlink"/>
            <w:rFonts w:ascii="Arial" w:hAnsi="Arial" w:cs="Arial"/>
            <w:sz w:val="22"/>
            <w:szCs w:val="22"/>
          </w:rPr>
          <w:t>Buckinghamshire’s Climate Change and Air Quality Strategy</w:t>
        </w:r>
      </w:hyperlink>
      <w:r w:rsidRPr="00532D6C">
        <w:rPr>
          <w:rFonts w:ascii="Arial" w:hAnsi="Arial" w:cs="Arial"/>
          <w:sz w:val="22"/>
          <w:szCs w:val="22"/>
        </w:rPr>
        <w:t xml:space="preserve">. </w:t>
      </w:r>
    </w:p>
    <w:p w14:paraId="6A7AA678" w14:textId="77777777" w:rsidR="00C530B8" w:rsidRPr="00532D6C" w:rsidRDefault="00C530B8" w:rsidP="00C530B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hyperlink r:id="rId15" w:history="1">
        <w:r w:rsidRPr="00532D6C">
          <w:rPr>
            <w:rStyle w:val="Hyperlink"/>
            <w:rFonts w:ascii="Arial" w:hAnsi="Arial" w:cs="Arial"/>
            <w:sz w:val="22"/>
            <w:szCs w:val="22"/>
          </w:rPr>
          <w:t>Buckinghamshire’s Local Skills Report</w:t>
        </w:r>
      </w:hyperlink>
    </w:p>
    <w:p w14:paraId="7E5138DC" w14:textId="77777777" w:rsidR="00C530B8" w:rsidRPr="00532D6C" w:rsidRDefault="00C530B8" w:rsidP="00C530B8">
      <w:pPr>
        <w:rPr>
          <w:rFonts w:ascii="Arial" w:hAnsi="Arial" w:cs="Arial"/>
        </w:rPr>
      </w:pPr>
    </w:p>
    <w:p w14:paraId="0CFF4603" w14:textId="77777777" w:rsidR="00C530B8" w:rsidRPr="00532D6C" w:rsidRDefault="00C530B8" w:rsidP="00C530B8">
      <w:pPr>
        <w:rPr>
          <w:rFonts w:ascii="Arial" w:hAnsi="Arial" w:cs="Arial"/>
        </w:rPr>
      </w:pPr>
      <w:r w:rsidRPr="00532D6C">
        <w:rPr>
          <w:rFonts w:ascii="Arial" w:hAnsi="Arial" w:cs="Arial"/>
        </w:rPr>
        <w:t xml:space="preserve">We also wish this project to </w:t>
      </w:r>
      <w:proofErr w:type="gramStart"/>
      <w:r w:rsidRPr="00532D6C">
        <w:rPr>
          <w:rFonts w:ascii="Arial" w:hAnsi="Arial" w:cs="Arial"/>
        </w:rPr>
        <w:t>take into account</w:t>
      </w:r>
      <w:proofErr w:type="gramEnd"/>
      <w:r w:rsidRPr="00532D6C">
        <w:rPr>
          <w:rFonts w:ascii="Arial" w:hAnsi="Arial" w:cs="Arial"/>
        </w:rPr>
        <w:t xml:space="preserve"> existing activity being undertaken within the County.  Including: </w:t>
      </w:r>
    </w:p>
    <w:p w14:paraId="382D9EC2" w14:textId="77777777" w:rsidR="00C530B8" w:rsidRPr="00532D6C" w:rsidRDefault="00C530B8" w:rsidP="00C530B8">
      <w:pPr>
        <w:rPr>
          <w:rFonts w:ascii="Arial" w:hAnsi="Arial" w:cs="Arial"/>
        </w:rPr>
      </w:pPr>
    </w:p>
    <w:p w14:paraId="49303EC2" w14:textId="77777777" w:rsidR="00C530B8" w:rsidRPr="00532D6C" w:rsidRDefault="00C530B8" w:rsidP="00C530B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hyperlink r:id="rId16" w:history="1">
        <w:r w:rsidRPr="00532D6C">
          <w:rPr>
            <w:rStyle w:val="Hyperlink"/>
            <w:rFonts w:ascii="Arial" w:hAnsi="Arial" w:cs="Arial"/>
            <w:sz w:val="22"/>
            <w:szCs w:val="22"/>
          </w:rPr>
          <w:t>Low carbon workplaces grants</w:t>
        </w:r>
      </w:hyperlink>
      <w:r w:rsidRPr="00532D6C">
        <w:rPr>
          <w:rFonts w:ascii="Arial" w:hAnsi="Arial" w:cs="Arial"/>
          <w:sz w:val="22"/>
          <w:szCs w:val="22"/>
        </w:rPr>
        <w:t xml:space="preserve"> </w:t>
      </w:r>
    </w:p>
    <w:p w14:paraId="5AE480DA" w14:textId="77777777" w:rsidR="00C530B8" w:rsidRPr="00532D6C" w:rsidRDefault="00C530B8" w:rsidP="00C530B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hyperlink r:id="rId17" w:history="1">
        <w:r w:rsidRPr="00532D6C">
          <w:rPr>
            <w:rStyle w:val="Hyperlink"/>
            <w:rFonts w:ascii="Arial" w:hAnsi="Arial" w:cs="Arial"/>
            <w:sz w:val="22"/>
            <w:szCs w:val="22"/>
          </w:rPr>
          <w:t>The Buckinghamshire Business First Net Zero Collaboration Circle</w:t>
        </w:r>
      </w:hyperlink>
      <w:r w:rsidRPr="00532D6C">
        <w:rPr>
          <w:rFonts w:ascii="Arial" w:hAnsi="Arial" w:cs="Arial"/>
          <w:sz w:val="22"/>
          <w:szCs w:val="22"/>
        </w:rPr>
        <w:t xml:space="preserve"> </w:t>
      </w:r>
    </w:p>
    <w:p w14:paraId="0B300603" w14:textId="77777777" w:rsidR="00C530B8" w:rsidRPr="00532D6C" w:rsidRDefault="00C530B8" w:rsidP="00C530B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32D6C">
        <w:rPr>
          <w:rFonts w:ascii="Arial" w:hAnsi="Arial" w:cs="Arial"/>
          <w:sz w:val="22"/>
          <w:szCs w:val="22"/>
        </w:rPr>
        <w:t xml:space="preserve">Green innovation activity being undertaken at </w:t>
      </w:r>
      <w:hyperlink r:id="rId18" w:history="1">
        <w:r w:rsidRPr="00532D6C">
          <w:rPr>
            <w:rStyle w:val="Hyperlink"/>
            <w:rFonts w:ascii="Arial" w:hAnsi="Arial" w:cs="Arial"/>
            <w:sz w:val="22"/>
            <w:szCs w:val="22"/>
          </w:rPr>
          <w:t>Buckinghamshire’s Enterprise Zones</w:t>
        </w:r>
      </w:hyperlink>
    </w:p>
    <w:p w14:paraId="4C635A42" w14:textId="77777777" w:rsidR="00C530B8" w:rsidRDefault="00C530B8" w:rsidP="00C530B8">
      <w:pPr>
        <w:rPr>
          <w:rFonts w:ascii="Arial" w:hAnsi="Arial" w:cs="Arial"/>
          <w:szCs w:val="28"/>
        </w:rPr>
      </w:pPr>
    </w:p>
    <w:p w14:paraId="1A8A8685" w14:textId="77777777" w:rsidR="00C530B8" w:rsidRDefault="00C530B8" w:rsidP="00C530B8">
      <w:pPr>
        <w:rPr>
          <w:rFonts w:ascii="Arial" w:hAnsi="Arial" w:cs="Arial"/>
          <w:b/>
          <w:bCs/>
          <w:color w:val="006964"/>
        </w:rPr>
      </w:pPr>
      <w:r>
        <w:rPr>
          <w:rFonts w:ascii="Arial" w:hAnsi="Arial" w:cs="Arial"/>
          <w:b/>
          <w:bCs/>
          <w:color w:val="006964"/>
        </w:rPr>
        <w:t>Steering group members</w:t>
      </w:r>
    </w:p>
    <w:p w14:paraId="4F576F69" w14:textId="77777777" w:rsidR="00C530B8" w:rsidRDefault="00C530B8" w:rsidP="00C530B8">
      <w:pPr>
        <w:rPr>
          <w:rFonts w:ascii="Arial" w:hAnsi="Arial" w:cs="Arial"/>
          <w:b/>
          <w:bCs/>
        </w:rPr>
      </w:pPr>
    </w:p>
    <w:p w14:paraId="6859F9D7" w14:textId="77777777" w:rsidR="00C530B8" w:rsidRDefault="00C530B8" w:rsidP="00C53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project will be overseen by a steering group, comprising representatives from Buckinghamshire LEP, Buckinghamshire Business First and Buckinghamshire Council. </w:t>
      </w:r>
    </w:p>
    <w:p w14:paraId="5ED2A01E" w14:textId="77777777" w:rsidR="00C530B8" w:rsidRDefault="00C530B8" w:rsidP="00C530B8">
      <w:pPr>
        <w:rPr>
          <w:rFonts w:ascii="Arial" w:hAnsi="Arial" w:cs="Arial"/>
        </w:rPr>
      </w:pPr>
    </w:p>
    <w:p w14:paraId="51559822" w14:textId="77777777" w:rsidR="00C530B8" w:rsidRDefault="00C530B8" w:rsidP="00C530B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Buckinghamshire Business First (the County’s business support organisation) has a membership of around 14,000 local businesses, including links to many of the County’s net zero innovators.  </w:t>
      </w:r>
    </w:p>
    <w:p w14:paraId="5BBA2625" w14:textId="77777777" w:rsidR="00C530B8" w:rsidRDefault="00C530B8" w:rsidP="00C530B8">
      <w:pPr>
        <w:rPr>
          <w:rFonts w:ascii="Arial" w:hAnsi="Arial" w:cs="Arial"/>
          <w:szCs w:val="28"/>
        </w:rPr>
      </w:pPr>
    </w:p>
    <w:p w14:paraId="0F563276" w14:textId="77777777" w:rsidR="00C530B8" w:rsidRDefault="00C530B8" w:rsidP="00C530B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Buckinghamshire LEP has begun to develop a list of local green economy businesses.  This will be shared with the successful bidder. </w:t>
      </w:r>
    </w:p>
    <w:p w14:paraId="35CC6C5E" w14:textId="77777777" w:rsidR="00831C94" w:rsidRDefault="00831C94"/>
    <w:sectPr w:rsidR="00831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7F93" w14:textId="77777777" w:rsidR="00CA723E" w:rsidRDefault="00CA723E" w:rsidP="00C530B8">
      <w:r>
        <w:separator/>
      </w:r>
    </w:p>
  </w:endnote>
  <w:endnote w:type="continuationSeparator" w:id="0">
    <w:p w14:paraId="737169FD" w14:textId="77777777" w:rsidR="00CA723E" w:rsidRDefault="00CA723E" w:rsidP="00C5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D8A7" w14:textId="77777777" w:rsidR="00CA723E" w:rsidRDefault="00CA723E" w:rsidP="00C530B8">
      <w:r>
        <w:separator/>
      </w:r>
    </w:p>
  </w:footnote>
  <w:footnote w:type="continuationSeparator" w:id="0">
    <w:p w14:paraId="18E2F1E8" w14:textId="77777777" w:rsidR="00CA723E" w:rsidRDefault="00CA723E" w:rsidP="00C530B8">
      <w:r>
        <w:continuationSeparator/>
      </w:r>
    </w:p>
  </w:footnote>
  <w:footnote w:id="1">
    <w:p w14:paraId="78DA843F" w14:textId="77777777" w:rsidR="00C530B8" w:rsidRPr="00D934DB" w:rsidRDefault="00C530B8" w:rsidP="00C530B8">
      <w:pPr>
        <w:pStyle w:val="FootnoteText"/>
        <w:rPr>
          <w:rFonts w:ascii="Arial (W1)" w:hAnsi="Arial (W1)" w:cs="Times New Roman"/>
          <w:b w:val="0"/>
          <w:bCs w:val="0"/>
        </w:rPr>
      </w:pPr>
      <w:r w:rsidRPr="00D934DB">
        <w:rPr>
          <w:rStyle w:val="FootnoteReference"/>
          <w:b w:val="0"/>
          <w:bCs w:val="0"/>
          <w:sz w:val="20"/>
          <w:szCs w:val="20"/>
        </w:rPr>
        <w:footnoteRef/>
      </w:r>
      <w:r w:rsidRPr="00D934DB">
        <w:rPr>
          <w:rFonts w:hint="cs"/>
          <w:b w:val="0"/>
          <w:bCs w:val="0"/>
          <w:sz w:val="20"/>
          <w:szCs w:val="20"/>
        </w:rPr>
        <w:t xml:space="preserve"> Note, Buckinghamshire’s Skills Strategy will be refreshed in early 2022.  Current strategy is set out in the </w:t>
      </w:r>
      <w:hyperlink r:id="rId1" w:history="1">
        <w:r w:rsidRPr="00D934DB">
          <w:rPr>
            <w:rStyle w:val="Hyperlink"/>
            <w:rFonts w:hint="cs"/>
            <w:b w:val="0"/>
            <w:bCs w:val="0"/>
            <w:sz w:val="20"/>
            <w:szCs w:val="20"/>
          </w:rPr>
          <w:t>Buckinghamshire Local Skills Report.</w:t>
        </w:r>
      </w:hyperlink>
      <w:r w:rsidRPr="00D934DB">
        <w:rPr>
          <w:rFonts w:hint="cs"/>
          <w:b w:val="0"/>
          <w:bCs w:val="0"/>
          <w:sz w:val="20"/>
          <w:szCs w:val="20"/>
        </w:rPr>
        <w:t xml:space="preserve">  It is envisaged that the refreshed strategy will set out goals in relation to ensuring the local economy has access to the skills needed to enable the transition net zero.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216"/>
    <w:multiLevelType w:val="hybridMultilevel"/>
    <w:tmpl w:val="2B3610E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F1240"/>
    <w:multiLevelType w:val="hybridMultilevel"/>
    <w:tmpl w:val="63D8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0B14"/>
    <w:multiLevelType w:val="hybridMultilevel"/>
    <w:tmpl w:val="7F14B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C4071"/>
    <w:multiLevelType w:val="hybridMultilevel"/>
    <w:tmpl w:val="019E5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8549A"/>
    <w:multiLevelType w:val="hybridMultilevel"/>
    <w:tmpl w:val="DC22C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169D0"/>
    <w:multiLevelType w:val="hybridMultilevel"/>
    <w:tmpl w:val="2DEC0E1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02AE5"/>
    <w:multiLevelType w:val="hybridMultilevel"/>
    <w:tmpl w:val="7F9E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7650"/>
    <w:multiLevelType w:val="hybridMultilevel"/>
    <w:tmpl w:val="07FA560E"/>
    <w:lvl w:ilvl="0" w:tplc="D6260FB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F47351"/>
    <w:multiLevelType w:val="hybridMultilevel"/>
    <w:tmpl w:val="7D56CA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242A6D"/>
    <w:multiLevelType w:val="hybridMultilevel"/>
    <w:tmpl w:val="B4CE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E664D"/>
    <w:multiLevelType w:val="hybridMultilevel"/>
    <w:tmpl w:val="DE5A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B8"/>
    <w:rsid w:val="00050E0E"/>
    <w:rsid w:val="00831C94"/>
    <w:rsid w:val="00C530B8"/>
    <w:rsid w:val="00C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E038"/>
  <w15:chartTrackingRefBased/>
  <w15:docId w15:val="{A0644AE7-84B2-4316-863F-0891334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0B8"/>
    <w:pPr>
      <w:spacing w:after="0" w:line="240" w:lineRule="auto"/>
    </w:pPr>
    <w:rPr>
      <w:rFonts w:ascii="Arial (W1)" w:eastAsia="Times New Roman" w:hAnsi="Arial (W1)" w:cs="Times New Roman"/>
      <w:lang w:eastAsia="en-GB"/>
    </w:rPr>
  </w:style>
  <w:style w:type="paragraph" w:styleId="Heading3">
    <w:name w:val="heading 3"/>
    <w:aliases w:val="Clarks 3"/>
    <w:basedOn w:val="Normal"/>
    <w:next w:val="Normal"/>
    <w:link w:val="Heading3Char"/>
    <w:qFormat/>
    <w:rsid w:val="00C530B8"/>
    <w:pPr>
      <w:keepNext/>
      <w:spacing w:before="240" w:after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530B8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styleId="Hyperlink">
    <w:name w:val="Hyperlink"/>
    <w:uiPriority w:val="99"/>
    <w:rsid w:val="00C530B8"/>
    <w:rPr>
      <w:color w:val="0000FF"/>
      <w:u w:val="single"/>
    </w:rPr>
  </w:style>
  <w:style w:type="paragraph" w:customStyle="1" w:styleId="TyndallBaseDoc">
    <w:name w:val="Tyndall Base Doc"/>
    <w:basedOn w:val="BodyText"/>
    <w:rsid w:val="00C530B8"/>
    <w:pPr>
      <w:keepLines/>
      <w:spacing w:before="120"/>
    </w:pPr>
    <w:rPr>
      <w:rFonts w:ascii="Arial" w:hAnsi="Arial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530B8"/>
    <w:rPr>
      <w:rFonts w:ascii="Arial" w:hAnsi="Arial" w:cs="Arial"/>
      <w:b/>
      <w:bCs/>
      <w:kern w:val="32"/>
      <w:sz w:val="32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0B8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C530B8"/>
    <w:pPr>
      <w:ind w:left="720"/>
      <w:contextualSpacing/>
    </w:pPr>
    <w:rPr>
      <w:rFonts w:ascii="Century Gothic" w:hAnsi="Century Gothic"/>
      <w:sz w:val="20"/>
      <w:szCs w:val="24"/>
      <w:lang w:eastAsia="en-US"/>
    </w:rPr>
  </w:style>
  <w:style w:type="character" w:styleId="FootnoteReference">
    <w:name w:val="footnote reference"/>
    <w:uiPriority w:val="99"/>
    <w:semiHidden/>
    <w:rsid w:val="00C530B8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C530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30B8"/>
    <w:rPr>
      <w:rFonts w:ascii="Arial (W1)" w:eastAsia="Times New Roman" w:hAnsi="Arial (W1)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33990/net-zero-strategy-beis.pdf" TargetMode="External"/><Relationship Id="rId13" Type="http://schemas.openxmlformats.org/officeDocument/2006/relationships/hyperlink" Target="https://www.buckstvlep.co.uk/?wpfb_dl=517" TargetMode="External"/><Relationship Id="rId18" Type="http://schemas.openxmlformats.org/officeDocument/2006/relationships/hyperlink" Target="https://www.aylesburyvaleez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1003570/gjtf-report.pdf" TargetMode="External"/><Relationship Id="rId12" Type="http://schemas.openxmlformats.org/officeDocument/2006/relationships/hyperlink" Target="https://www.buckstvlep.co.uk/our-strategies/buckinghamshire-economic-recovery-strategy-consultation/" TargetMode="External"/><Relationship Id="rId17" Type="http://schemas.openxmlformats.org/officeDocument/2006/relationships/hyperlink" Target="https://bbf.uk.com/business-support/net-zero-collaboration-circ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f.uk.com/business-support/low-carbon-workspac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ckstvlep.co.uk/our-strategies/local-industrial-strateg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uckstvlep.co.uk/our-strategies/buckinghamshire-local-skills-report/" TargetMode="External"/><Relationship Id="rId10" Type="http://schemas.openxmlformats.org/officeDocument/2006/relationships/hyperlink" Target="https://assets.publishing.service.gov.uk/government/uploads/system/uploads/attachment_data/file/1033990/net-zero-strategy-bei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rymaps.arcgis.com/collections/8aa56ffc49084bc2a88f7954905cf3fe?item=1" TargetMode="External"/><Relationship Id="rId14" Type="http://schemas.openxmlformats.org/officeDocument/2006/relationships/hyperlink" Target="https://www.buckinghamshire.gov.uk/environment/sustainability-and-climate-change/climate-change-and-air-quality-strategy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ckstvlep.co.uk/our-strategies/buckinghamshire-local-skills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Hargrave</dc:creator>
  <cp:keywords/>
  <dc:description/>
  <cp:lastModifiedBy>Caroline Hargrave</cp:lastModifiedBy>
  <cp:revision>1</cp:revision>
  <dcterms:created xsi:type="dcterms:W3CDTF">2022-02-10T09:59:00Z</dcterms:created>
  <dcterms:modified xsi:type="dcterms:W3CDTF">2022-02-10T10:01:00Z</dcterms:modified>
</cp:coreProperties>
</file>